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W w:w="0" w:type="auto"/>
        <w:jc w:val="center"/>
        <w:tblBorders>
          <w:bottom w:val="single" w:sz="4" w:space="0" w:color="auto"/>
        </w:tblBorders>
        <w:tblLook w:val="01E0" w:firstRow="1" w:lastRow="1" w:firstColumn="1" w:lastColumn="1" w:noHBand="0" w:noVBand="0"/>
      </w:tblPr>
      <w:tblGrid>
        <w:gridCol w:w="6940"/>
        <w:gridCol w:w="1842"/>
      </w:tblGrid>
      <w:tr w:rsidR="00FE63EB" w14:paraId="0D5D07E7" w14:textId="77777777" w:rsidTr="00DE264A">
        <w:trPr>
          <w:trHeight w:val="852"/>
          <w:jc w:val="center"/>
        </w:trPr>
        <w:tc>
          <w:tcPr>
            <w:tcW w:w="6946" w:type="dxa"/>
            <w:vMerge w:val="restart"/>
            <w:tcBorders>
              <w:right w:val="single" w:sz="4" w:space="0" w:color="auto"/>
            </w:tcBorders>
          </w:tcPr>
          <w:p w14:paraId="226DCC22" w14:textId="77777777" w:rsidR="000A03B2" w:rsidRPr="00B57B36" w:rsidRDefault="00AA44E1"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s-CO" w:eastAsia="es-CO"/>
              </w:rPr>
              <w:drawing>
                <wp:inline distT="0" distB="0" distL="0" distR="0" wp14:anchorId="31E72CCB" wp14:editId="0CAE482F">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cetlogo"/>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p>
          <w:p w14:paraId="693CF131" w14:textId="77777777" w:rsidR="000A03B2" w:rsidRPr="00B57B36" w:rsidRDefault="000A03B2" w:rsidP="00DE264A">
            <w:pPr>
              <w:tabs>
                <w:tab w:val="left" w:pos="-108"/>
              </w:tabs>
              <w:ind w:left="-108"/>
              <w:jc w:val="left"/>
              <w:rPr>
                <w:rFonts w:cs="Arial"/>
                <w:b/>
                <w:bCs/>
                <w:i/>
                <w:iCs/>
                <w:color w:val="000066"/>
                <w:sz w:val="12"/>
                <w:szCs w:val="12"/>
                <w:lang w:eastAsia="it-IT"/>
              </w:rPr>
            </w:pPr>
          </w:p>
          <w:p w14:paraId="61FDD185" w14:textId="77777777" w:rsidR="000A03B2" w:rsidRPr="00B57B36" w:rsidRDefault="00AA44E1"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1D21AF">
              <w:rPr>
                <w:rFonts w:cs="Arial"/>
                <w:b/>
                <w:bCs/>
                <w:i/>
                <w:iCs/>
                <w:color w:val="000066"/>
                <w:sz w:val="22"/>
                <w:szCs w:val="22"/>
                <w:lang w:eastAsia="it-IT"/>
              </w:rPr>
              <w:t>2</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615BCAA8" w14:textId="77777777" w:rsidR="000A03B2" w:rsidRPr="00B57B36" w:rsidRDefault="00AA44E1" w:rsidP="00CD5FE2">
            <w:pPr>
              <w:spacing w:line="140" w:lineRule="atLeast"/>
              <w:jc w:val="right"/>
              <w:rPr>
                <w:rFonts w:cs="Arial"/>
                <w:sz w:val="14"/>
                <w:szCs w:val="14"/>
              </w:rPr>
            </w:pPr>
            <w:r w:rsidRPr="00B57B36">
              <w:rPr>
                <w:rFonts w:cs="Arial"/>
                <w:sz w:val="14"/>
                <w:szCs w:val="14"/>
              </w:rPr>
              <w:t>A publication of</w:t>
            </w:r>
          </w:p>
          <w:p w14:paraId="197A8C17" w14:textId="77777777" w:rsidR="000A03B2" w:rsidRPr="00B57B36" w:rsidRDefault="00AA44E1" w:rsidP="00CD5FE2">
            <w:pPr>
              <w:jc w:val="right"/>
            </w:pPr>
            <w:r w:rsidRPr="00B57B36">
              <w:rPr>
                <w:noProof/>
                <w:lang w:val="es-CO" w:eastAsia="es-CO"/>
              </w:rPr>
              <w:drawing>
                <wp:inline distT="0" distB="0" distL="0" distR="0" wp14:anchorId="1513DDC9" wp14:editId="36303007">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descr="aidiclogo_grande"/>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70560" cy="358140"/>
                          </a:xfrm>
                          <a:prstGeom prst="rect">
                            <a:avLst/>
                          </a:prstGeom>
                          <a:noFill/>
                          <a:ln>
                            <a:noFill/>
                          </a:ln>
                        </pic:spPr>
                      </pic:pic>
                    </a:graphicData>
                  </a:graphic>
                </wp:inline>
              </w:drawing>
            </w:r>
          </w:p>
        </w:tc>
      </w:tr>
      <w:tr w:rsidR="00FE63EB" w14:paraId="45F03E9E" w14:textId="77777777" w:rsidTr="00DE264A">
        <w:trPr>
          <w:trHeight w:val="567"/>
          <w:jc w:val="center"/>
        </w:trPr>
        <w:tc>
          <w:tcPr>
            <w:tcW w:w="6946" w:type="dxa"/>
            <w:vMerge/>
            <w:tcBorders>
              <w:right w:val="single" w:sz="4" w:space="0" w:color="auto"/>
            </w:tcBorders>
          </w:tcPr>
          <w:p w14:paraId="4504EF93"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6967BF41" w14:textId="77777777" w:rsidR="000A03B2" w:rsidRPr="00B57B36" w:rsidRDefault="00AA44E1" w:rsidP="00CD5FE2">
            <w:pPr>
              <w:spacing w:line="140" w:lineRule="atLeast"/>
              <w:jc w:val="right"/>
              <w:rPr>
                <w:rFonts w:cs="Arial"/>
                <w:sz w:val="14"/>
                <w:szCs w:val="14"/>
              </w:rPr>
            </w:pPr>
            <w:r w:rsidRPr="00B57B36">
              <w:rPr>
                <w:rFonts w:cs="Arial"/>
                <w:sz w:val="14"/>
                <w:szCs w:val="14"/>
              </w:rPr>
              <w:t>The Italian Association</w:t>
            </w:r>
          </w:p>
          <w:p w14:paraId="4C210D2F" w14:textId="77777777" w:rsidR="000A03B2" w:rsidRPr="00B57B36" w:rsidRDefault="00AA44E1" w:rsidP="00CD5FE2">
            <w:pPr>
              <w:spacing w:line="140" w:lineRule="atLeast"/>
              <w:jc w:val="right"/>
              <w:rPr>
                <w:rFonts w:cs="Arial"/>
                <w:sz w:val="14"/>
                <w:szCs w:val="14"/>
              </w:rPr>
            </w:pPr>
            <w:r w:rsidRPr="00B57B36">
              <w:rPr>
                <w:rFonts w:cs="Arial"/>
                <w:sz w:val="14"/>
                <w:szCs w:val="14"/>
              </w:rPr>
              <w:t>of Chemical Engineering</w:t>
            </w:r>
          </w:p>
          <w:p w14:paraId="2B03A57C" w14:textId="77777777" w:rsidR="000A03B2" w:rsidRPr="000D0268" w:rsidRDefault="00AA44E1" w:rsidP="00CD5FE2">
            <w:pPr>
              <w:spacing w:line="140" w:lineRule="atLeast"/>
              <w:jc w:val="right"/>
              <w:rPr>
                <w:rFonts w:cs="Arial"/>
                <w:sz w:val="13"/>
                <w:szCs w:val="13"/>
              </w:rPr>
            </w:pPr>
            <w:r w:rsidRPr="000D0268">
              <w:rPr>
                <w:rFonts w:cs="Arial"/>
                <w:sz w:val="13"/>
                <w:szCs w:val="13"/>
              </w:rPr>
              <w:t>Online at www.cetjournal.it</w:t>
            </w:r>
          </w:p>
        </w:tc>
      </w:tr>
      <w:tr w:rsidR="00FE63EB" w14:paraId="27116431" w14:textId="77777777" w:rsidTr="00DE264A">
        <w:trPr>
          <w:trHeight w:val="68"/>
          <w:jc w:val="center"/>
        </w:trPr>
        <w:tc>
          <w:tcPr>
            <w:tcW w:w="8789" w:type="dxa"/>
            <w:gridSpan w:val="2"/>
          </w:tcPr>
          <w:p w14:paraId="2C9F128F" w14:textId="77777777" w:rsidR="00300E56" w:rsidRPr="0044071E" w:rsidRDefault="00AA44E1"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Rubens Maciel Filho</w:t>
            </w:r>
            <w:r w:rsidR="00964A45">
              <w:rPr>
                <w:rFonts w:ascii="Tahoma" w:hAnsi="Tahoma" w:cs="Tahoma"/>
                <w:color w:val="000000"/>
                <w:sz w:val="14"/>
                <w:szCs w:val="14"/>
                <w:shd w:val="clear" w:color="auto" w:fill="FFFFFF"/>
                <w:lang w:val="it-IT"/>
              </w:rPr>
              <w:t>,</w:t>
            </w:r>
            <w:r w:rsidR="00964A45" w:rsidRPr="0044071E">
              <w:rPr>
                <w:rFonts w:ascii="Tahoma" w:hAnsi="Tahoma" w:cs="Tahoma"/>
                <w:color w:val="000000"/>
                <w:sz w:val="14"/>
                <w:szCs w:val="14"/>
                <w:shd w:val="clear" w:color="auto" w:fill="FFFFFF"/>
                <w:lang w:val="it-IT"/>
              </w:rPr>
              <w:t xml:space="preserve"> Eliseo Ranzi</w:t>
            </w:r>
            <w:r w:rsidR="00964A45">
              <w:rPr>
                <w:rFonts w:ascii="Tahoma" w:hAnsi="Tahoma" w:cs="Tahoma"/>
                <w:color w:val="000000"/>
                <w:sz w:val="14"/>
                <w:szCs w:val="14"/>
                <w:shd w:val="clear" w:color="auto" w:fill="FFFFFF"/>
                <w:lang w:val="it-IT"/>
              </w:rPr>
              <w:t>, Leonardo Tognotti</w:t>
            </w:r>
          </w:p>
          <w:p w14:paraId="6D97C5A6" w14:textId="77777777" w:rsidR="000A03B2" w:rsidRPr="00B57B36" w:rsidRDefault="00AA44E1"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p>
          <w:p w14:paraId="72865901" w14:textId="77777777" w:rsidR="000A03B2" w:rsidRPr="00B57B36" w:rsidRDefault="00300E56" w:rsidP="001D21AF">
            <w:pPr>
              <w:tabs>
                <w:tab w:val="left" w:pos="-108"/>
              </w:tabs>
              <w:spacing w:line="140" w:lineRule="atLeast"/>
              <w:ind w:left="-107"/>
              <w:jc w:val="left"/>
            </w:pP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90</w:t>
            </w:r>
            <w:r w:rsidR="00D46B7E">
              <w:rPr>
                <w:rFonts w:ascii="Tahoma" w:hAnsi="Tahoma" w:cs="Tahoma"/>
                <w:sz w:val="14"/>
                <w:szCs w:val="14"/>
              </w:rPr>
              <w:t>-</w:t>
            </w:r>
            <w:r w:rsidR="001D21AF">
              <w:rPr>
                <w:rFonts w:ascii="Tahoma" w:hAnsi="Tahoma" w:cs="Tahoma"/>
                <w:sz w:val="14"/>
                <w:szCs w:val="14"/>
              </w:rPr>
              <w:t>7</w:t>
            </w:r>
            <w:r w:rsidR="007B48F9"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613D63C5"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0B2970B5" w14:textId="6667AD71" w:rsidR="00147575" w:rsidRPr="00B57B36" w:rsidRDefault="00AA44E1" w:rsidP="00147575">
      <w:pPr>
        <w:pStyle w:val="CETTitle"/>
      </w:pPr>
      <w:r w:rsidRPr="00BB0736">
        <w:t>Computer-Aided Simulation of Avocado Oil Production in North Colombia</w:t>
      </w:r>
    </w:p>
    <w:p w14:paraId="4FD5980F" w14:textId="77777777" w:rsidR="00147575" w:rsidRPr="00CF3097" w:rsidRDefault="00AA44E1" w:rsidP="00147575">
      <w:pPr>
        <w:pStyle w:val="CETAuthors"/>
        <w:rPr>
          <w:lang w:val="es-CO"/>
        </w:rPr>
      </w:pPr>
      <w:r w:rsidRPr="001A25E3">
        <w:rPr>
          <w:lang w:val="es-CO"/>
        </w:rPr>
        <w:t>Tamy Herrera-Rodríguez, Vianny Parejo-Pa</w:t>
      </w:r>
      <w:r>
        <w:rPr>
          <w:lang w:val="es-CO"/>
        </w:rPr>
        <w:t>lacio</w:t>
      </w:r>
      <w:r w:rsidRPr="001A25E3">
        <w:rPr>
          <w:lang w:val="es-CO"/>
        </w:rPr>
        <w:t xml:space="preserve">, </w:t>
      </w:r>
      <w:r>
        <w:rPr>
          <w:lang w:val="es-CO"/>
        </w:rPr>
        <w:t>Á</w:t>
      </w:r>
      <w:r w:rsidRPr="001A25E3">
        <w:rPr>
          <w:lang w:val="es-CO"/>
        </w:rPr>
        <w:t>ngel Gonz</w:t>
      </w:r>
      <w:r>
        <w:rPr>
          <w:lang w:val="es-CO"/>
        </w:rPr>
        <w:t>á</w:t>
      </w:r>
      <w:r w:rsidRPr="001A25E3">
        <w:rPr>
          <w:lang w:val="es-CO"/>
        </w:rPr>
        <w:t>lez-Delgado*</w:t>
      </w:r>
    </w:p>
    <w:p w14:paraId="50375C27" w14:textId="77777777" w:rsidR="00147575" w:rsidRPr="00233024" w:rsidRDefault="00AA44E1" w:rsidP="00147575">
      <w:pPr>
        <w:pStyle w:val="CETAddress"/>
        <w:rPr>
          <w:rFonts w:eastAsiaTheme="minorHAnsi"/>
          <w:lang w:val="en-US"/>
        </w:rPr>
      </w:pPr>
      <w:r w:rsidRPr="00233024">
        <w:rPr>
          <w:rFonts w:eastAsiaTheme="minorHAnsi"/>
          <w:lang w:val="en-US"/>
        </w:rPr>
        <w:t>Nanomaterials and Computer Aided Process Engineering Research Group (NIPAC), Chemical Engineering Department,</w:t>
      </w:r>
    </w:p>
    <w:p w14:paraId="76D722CD" w14:textId="77777777" w:rsidR="00147575" w:rsidRPr="00B57B36" w:rsidRDefault="00AA44E1" w:rsidP="00147575">
      <w:pPr>
        <w:pStyle w:val="CETAddress"/>
      </w:pPr>
      <w:r w:rsidRPr="00233024">
        <w:rPr>
          <w:rFonts w:eastAsiaTheme="minorHAnsi"/>
          <w:lang w:val="en-US"/>
        </w:rPr>
        <w:t>Faculty of Engineering, University of Cartagena, Av. del Consulado Calle 30 No. 48-152, Cartagena, Colombia.</w:t>
      </w:r>
      <w:r w:rsidRPr="00B57B36">
        <w:t xml:space="preserve"> </w:t>
      </w:r>
    </w:p>
    <w:p w14:paraId="365EFC1F" w14:textId="3DCF6E65" w:rsidR="00147575" w:rsidRDefault="00AA44E1" w:rsidP="0039543E">
      <w:pPr>
        <w:pStyle w:val="CETemail"/>
        <w:rPr>
          <w:rFonts w:eastAsiaTheme="minorHAnsi"/>
        </w:rPr>
      </w:pPr>
      <w:r>
        <w:rPr>
          <w:rFonts w:eastAsiaTheme="minorHAnsi"/>
        </w:rPr>
        <w:t>agonzale</w:t>
      </w:r>
      <w:r w:rsidR="00C40677">
        <w:rPr>
          <w:rFonts w:eastAsiaTheme="minorHAnsi"/>
        </w:rPr>
        <w:t>z</w:t>
      </w:r>
      <w:r>
        <w:rPr>
          <w:rFonts w:eastAsiaTheme="minorHAnsi"/>
        </w:rPr>
        <w:t>d1</w:t>
      </w:r>
      <w:r w:rsidRPr="00233024">
        <w:rPr>
          <w:rFonts w:eastAsiaTheme="minorHAnsi"/>
        </w:rPr>
        <w:t>@unicartagena.edu.co</w:t>
      </w:r>
    </w:p>
    <w:p w14:paraId="3EAAC21E" w14:textId="389A89F9" w:rsidR="00C37521" w:rsidRPr="00C37521" w:rsidRDefault="00C37521" w:rsidP="00C37521">
      <w:pPr>
        <w:pStyle w:val="CETBodytext"/>
      </w:pPr>
      <w:r w:rsidRPr="00C37521">
        <w:t>Avocado comprises one of the main economic inputs of the North Colombia region; however, this crop is not taken advantage of properly due to a lack of commercial and production process techniques. Generally, the avocado is trading for human consumption, without transformation, or for the development of new products. Avocado pulp is rich in lipids, which becomes a potential oil source. There are diverse techniques for oil extraction, according to the method used application is defined; supercritical fluids extraction and solvents used in the cosmetic industry, otherwise the food industry employs mechanical and physical methods. In this work, avocado oil extraction using hexane simulated in Aspen plus software; hence, compounds that make up the avocado pulp entered into the software in their proper proportion, including fatty acids, carbohydrates, fiber, ash, protein, and moisture. 10,605 t/y of avocado are processed, which must wash and disinfected, crushed, dried before extraction, and finally, the oil is separated from the solvent by distillation and recirculated to the process, where a detailed process is obtained with flows, the composition of all the streams, and operation conditions as pressure and temperature. The simulation shows a total production of 1,000 t/y of avocado oil, with an extraction yield of 65.19 %. In addition, to validate the design and simulation of the process, the properties of some fatty acids have in avocado oil were compared with data reported in the literature.</w:t>
      </w:r>
    </w:p>
    <w:p w14:paraId="290947E1" w14:textId="77777777" w:rsidR="00147575" w:rsidRDefault="00AA44E1" w:rsidP="00AA44E1">
      <w:pPr>
        <w:pStyle w:val="CETHeading1"/>
      </w:pPr>
      <w:r w:rsidRPr="00AA44E1">
        <w:t>Introduction</w:t>
      </w:r>
    </w:p>
    <w:p w14:paraId="64174F03" w14:textId="7405B3EA" w:rsidR="00762F11" w:rsidRDefault="00AA44E1" w:rsidP="0086167C">
      <w:pPr>
        <w:pStyle w:val="CETBodytext"/>
      </w:pPr>
      <w:r w:rsidRPr="0086167C">
        <w:t>The avocado (</w:t>
      </w:r>
      <w:r w:rsidRPr="0086167C">
        <w:rPr>
          <w:i/>
          <w:iCs/>
        </w:rPr>
        <w:t>Persea Americana mill</w:t>
      </w:r>
      <w:r w:rsidRPr="0086167C">
        <w:t xml:space="preserve">.) is one of the most important fruits grown in Colombia. The varieties produced in the country include: Choquette, Santana, Lorena, Semil, Booth-8, Fuerte and Hass </w:t>
      </w:r>
      <w:r w:rsidRPr="00926C0B">
        <w:rPr>
          <w:lang w:val="es-CO"/>
        </w:rPr>
        <w:fldChar w:fldCharType="begin" w:fldLock="1"/>
      </w:r>
      <w:r w:rsidR="00DF3716">
        <w:instrText>ADDIN CSL_CITATION {"citationItems":[{"id":"ITEM-1","itemData":{"DOI":"10.1016/j.biortech.2017.06.063","ISSN":"18732976","PMID":"28651135","author":[{"dropping-particle":"","family":"Dávila","given":"Javier","non-dropping-particle":"","parse-names":false,"suffix":""},{"dropping-particle":"","family":"Rosenberg","given":"Moshe","non-dropping-particle":"","parse-names":false,"suffix":""},{"dropping-particle":"","family":"Castro","given":"Eulogio","non-dropping-particle":"","parse-names":false,"suffix":""},{"dropping-particle":"","family":"Cardona","given":"Carlos","non-dropping-particle":"","parse-names":false,"suffix":""}],"container-title":"Bioresource Technology","id":"ITEM-1","issued":{"date-parts":[["2017"]]},"page":"17-29","title":"A model biorefinery for avocado (Persea americana mill.) processing","type":"article-journal","volume":"243"},"uris":["http://www.mendeley.com/documents/?uuid=360ea2cd-e5a1-440d-9cf8-7625b04da9ab"]}],"mendeley":{"formattedCitation":"(Dávila et al., 2017)","manualFormatting":"(Dávila et al., 2017)","plainTextFormattedCitation":"(Dávila et al., 2017)","previouslyFormattedCitation":"(Dávila &lt;i&gt;et al.&lt;/i&gt;, 2017)"},"properties":{"noteIndex":0},"schema":"https://github.com/citation-style-language/schema/raw/master/csl-citation.json"}</w:instrText>
      </w:r>
      <w:r w:rsidRPr="00926C0B">
        <w:rPr>
          <w:lang w:val="es-CO"/>
        </w:rPr>
        <w:fldChar w:fldCharType="separate"/>
      </w:r>
      <w:r w:rsidRPr="0086167C">
        <w:rPr>
          <w:noProof/>
        </w:rPr>
        <w:t>(Dávila et al., 2017)</w:t>
      </w:r>
      <w:r w:rsidRPr="00926C0B">
        <w:rPr>
          <w:lang w:val="es-CO"/>
        </w:rPr>
        <w:fldChar w:fldCharType="end"/>
      </w:r>
      <w:r w:rsidRPr="0086167C">
        <w:t>. This fruit has multiple nutrients such as fatty acids, vitamins, carotenoids, minerals (P, K, Ca, Fe, Na), and essential amino acids (lysine, valine, isoleucine, threonine)</w:t>
      </w:r>
      <w:r>
        <w:t xml:space="preserve"> </w:t>
      </w:r>
      <w:r w:rsidRPr="00CD5AED">
        <w:rPr>
          <w:lang w:val="es-CO"/>
        </w:rPr>
        <w:fldChar w:fldCharType="begin" w:fldLock="1"/>
      </w:r>
      <w:r w:rsidR="00DF3716">
        <w:instrText>ADDIN CSL_CITATION {"citationItems":[{"id":"ITEM-1","itemData":{"DOI":"10.1016/j.raem.2017.07.005","ISSN":"03264610","author":[{"dropping-particle":"","family":"Uchenna","given":"Uzukwu Emmanuel","non-dropping-particle":"","parse-names":false,"suffix":""},{"dropping-particle":"","family":"Shori","given":"Amal Bakr","non-dropping-particle":"","parse-names":false,"suffix":""},{"dropping-particle":"","family":"Baba","given":"Ahmad Salihin","non-dropping-particle":"","parse-names":false,"suffix":""}],"container-title":"Revista Argentina de Endocrinología y Metabolismo","id":"ITEM-1","issue":"3","issued":{"date-parts":[["2017"]]},"page":"140-148","publisher":"Sociedad Argentina de Endocrinología y Metabolismo","title":"Inclusion of avocado ( Persea americana ) seeds in the diet to improve carbohydrate and lipid metabolism in rats","type":"article-journal","volume":"54"},"uris":["http://www.mendeley.com/documents/?uuid=b44cb86e-917f-4099-b4b0-02366befc5eb"]}],"mendeley":{"formattedCitation":"(Uchenna et al., 2017)","manualFormatting":"(Uchenna et al., 2017)","plainTextFormattedCitation":"(Uchenna et al., 2017)","previouslyFormattedCitation":"(Uchenna, Shori and Baba, 2017)"},"properties":{"noteIndex":0},"schema":"https://github.com/citation-style-language/schema/raw/master/csl-citation.json"}</w:instrText>
      </w:r>
      <w:r w:rsidRPr="00CD5AED">
        <w:rPr>
          <w:lang w:val="es-CO"/>
        </w:rPr>
        <w:fldChar w:fldCharType="separate"/>
      </w:r>
      <w:r w:rsidRPr="00CD5AED">
        <w:rPr>
          <w:noProof/>
        </w:rPr>
        <w:t>(Uchenna et al., 2017)</w:t>
      </w:r>
      <w:r w:rsidRPr="00CD5AED">
        <w:rPr>
          <w:lang w:val="es-CO"/>
        </w:rPr>
        <w:fldChar w:fldCharType="end"/>
      </w:r>
      <w:r w:rsidRPr="00CD5AED">
        <w:t>. Generally</w:t>
      </w:r>
      <w:r w:rsidRPr="0086167C">
        <w:t xml:space="preserve">, avocado is consumed fresh or its pulp is processed to obtain spreadable products such as guacamole </w:t>
      </w:r>
      <w:r w:rsidRPr="00926C0B">
        <w:rPr>
          <w:lang w:val="es-CO"/>
        </w:rPr>
        <w:fldChar w:fldCharType="begin" w:fldLock="1"/>
      </w:r>
      <w:r w:rsidR="00DF3716">
        <w:instrText>ADDIN CSL_CITATION {"citationItems":[{"id":"ITEM-1","itemData":{"DOI":"10.1016/j.biortech.2017.06.063","ISSN":"18732976","PMID":"28651135","author":[{"dropping-particle":"","family":"Dávila","given":"Javier","non-dropping-particle":"","parse-names":false,"suffix":""},{"dropping-particle":"","family":"Rosenberg","given":"Moshe","non-dropping-particle":"","parse-names":false,"suffix":""},{"dropping-particle":"","family":"Castro","given":"Eulogio","non-dropping-particle":"","parse-names":false,"suffix":""},{"dropping-particle":"","family":"Cardona","given":"Carlos","non-dropping-particle":"","parse-names":false,"suffix":""}],"container-title":"Bioresource Technology","id":"ITEM-1","issued":{"date-parts":[["2017"]]},"page":"17-29","title":"A model biorefinery for avocado (Persea americana mill.) processing","type":"article-journal","volume":"243"},"uris":["http://www.mendeley.com/documents/?uuid=360ea2cd-e5a1-440d-9cf8-7625b04da9ab"]}],"mendeley":{"formattedCitation":"(Dávila et al., 2017)","manualFormatting":"(Dávila et al., 2017)","plainTextFormattedCitation":"(Dávila et al., 2017)","previouslyFormattedCitation":"(Dávila &lt;i&gt;et al.&lt;/i&gt;, 2017)"},"properties":{"noteIndex":0},"schema":"https://github.com/citation-style-language/schema/raw/master/csl-citation.json"}</w:instrText>
      </w:r>
      <w:r w:rsidRPr="00926C0B">
        <w:rPr>
          <w:lang w:val="es-CO"/>
        </w:rPr>
        <w:fldChar w:fldCharType="separate"/>
      </w:r>
      <w:r w:rsidRPr="0086167C">
        <w:rPr>
          <w:noProof/>
        </w:rPr>
        <w:t>(Dávila et al., 2017)</w:t>
      </w:r>
      <w:r w:rsidRPr="00926C0B">
        <w:rPr>
          <w:lang w:val="es-CO"/>
        </w:rPr>
        <w:fldChar w:fldCharType="end"/>
      </w:r>
      <w:r w:rsidRPr="0086167C">
        <w:t xml:space="preserve"> or used to produce an oil with characteristics similar to those of olive oil </w:t>
      </w:r>
      <w:r w:rsidRPr="00926C0B">
        <w:rPr>
          <w:lang w:val="es-CO"/>
        </w:rPr>
        <w:fldChar w:fldCharType="begin" w:fldLock="1"/>
      </w:r>
      <w:r w:rsidR="00DF3716">
        <w:instrText>ADDIN CSL_CITATION {"citationItems":[{"id":"ITEM-1","itemData":{"DOI":"10.1016/j.biortech.2021.126060","author":[{"dropping-particle":"","family":"Solarte-toro","given":"Juan Camilo","non-dropping-particle":"","parse-names":false,"suffix":""},{"dropping-particle":"","family":"Ortiz-sanchez","given":"Mariana","non-dropping-particle":"","parse-names":false,"suffix":""},{"dropping-particle":"","family":"Restrepo-serna","given":"Daissy Lorena","non-dropping-particle":"","parse-names":false,"suffix":""},{"dropping-particle":"","family":"Alexander","given":"P","non-dropping-particle":"","parse-names":false,"suffix":""},{"dropping-particle":"","family":"Peroza","given":"Pavel","non-dropping-particle":"","parse-names":false,"suffix":""},{"dropping-particle":"","family":"Ariel","given":"Carlos","non-dropping-particle":"","parse-names":false,"suffix":""},{"dropping-particle":"","family":"Alzate","given":"Cardona","non-dropping-particle":"","parse-names":false,"suffix":""}],"container-title":"Bioresource Technology","id":"ITEM-1","issue":"July","issued":{"date-parts":[["2021"]]},"title":"Bioresource Technology Influence of products portfolio and process contextualization on the economic performance of small- and large-scale avocado biorefineries","type":"article-journal","volume":"342"},"uris":["http://www.mendeley.com/documents/?uuid=039bf0c0-00c1-451f-987c-67847b94801b"]}],"mendeley":{"formattedCitation":"(Solarte-toro et al., 2021)","manualFormatting":"(Solarte et al., 2021)","plainTextFormattedCitation":"(Solarte-toro et al., 2021)","previouslyFormattedCitation":"(Solarte-toro &lt;i&gt;et al.&lt;/i&gt;, 2021)"},"properties":{"noteIndex":0},"schema":"https://github.com/citation-style-language/schema/raw/master/csl-citation.json"}</w:instrText>
      </w:r>
      <w:r w:rsidRPr="00926C0B">
        <w:rPr>
          <w:lang w:val="es-CO"/>
        </w:rPr>
        <w:fldChar w:fldCharType="separate"/>
      </w:r>
      <w:r w:rsidRPr="00762F11">
        <w:rPr>
          <w:noProof/>
        </w:rPr>
        <w:t>(Solarte et al., 2021)</w:t>
      </w:r>
      <w:r w:rsidRPr="00926C0B">
        <w:rPr>
          <w:lang w:val="es-CO"/>
        </w:rPr>
        <w:fldChar w:fldCharType="end"/>
      </w:r>
      <w:r w:rsidRPr="00762F11">
        <w:t>.</w:t>
      </w:r>
      <w:r>
        <w:t xml:space="preserve"> </w:t>
      </w:r>
    </w:p>
    <w:p w14:paraId="6D3F22D8" w14:textId="2787A5AB" w:rsidR="0086167C" w:rsidRDefault="00AA44E1" w:rsidP="0086167C">
      <w:pPr>
        <w:pStyle w:val="CETBodytext"/>
      </w:pPr>
      <w:r w:rsidRPr="0086167C">
        <w:t xml:space="preserve">Part of the production of the Montes de María region is not being used in its entirety, due to the presence of pests, lack of implementation of harvesting and marketing strategies, among others </w:t>
      </w:r>
      <w:r w:rsidR="00762F11" w:rsidRPr="00926C0B">
        <w:rPr>
          <w:lang w:val="es-CO"/>
        </w:rPr>
        <w:fldChar w:fldCharType="begin" w:fldLock="1"/>
      </w:r>
      <w:r w:rsidR="00DF3716">
        <w:instrText>ADDIN CSL_CITATION {"citationItems":[{"id":"ITEM-1","itemData":{"DOI":"10.21892/24627593.228","ISSN":"2462-7593","author":[{"dropping-particle":"","family":"Méndez","given":"Martha","non-dropping-particle":"","parse-names":false,"suffix":""},{"dropping-particle":"","family":"Humanez","given":"Ubaldo","non-dropping-particle":"","parse-names":false,"suffix":""},{"dropping-particle":"","family":"Pérez","given":"Jairo","non-dropping-particle":"","parse-names":false,"suffix":""},{"dropping-particle":"","family":"Bertel","given":"Cristian","non-dropping-particle":"","parse-names":false,"suffix":""}],"container-title":"Perspectiva Socioeconómica","id":"ITEM-1","issue":"2","issued":{"date-parts":[["2015"]]},"page":"105","title":"Distribution strategies Avocado Production Chain in Los Montes de María","type":"article-journal","volume":"1"},"uris":["http://www.mendeley.com/documents/?uuid=6c146eb3-1b19-4ff9-87d0-e90ab07051e2"]}],"mendeley":{"formattedCitation":"(Méndez et al., 2015)","manualFormatting":"(Méndez et al., 2015)","plainTextFormattedCitation":"(Méndez et al., 2015)","previouslyFormattedCitation":"(Méndez &lt;i&gt;et al.&lt;/i&gt;, 2015)"},"properties":{"noteIndex":0},"schema":"https://github.com/citation-style-language/schema/raw/master/csl-citation.json"}</w:instrText>
      </w:r>
      <w:r w:rsidR="00762F11" w:rsidRPr="00926C0B">
        <w:rPr>
          <w:lang w:val="es-CO"/>
        </w:rPr>
        <w:fldChar w:fldCharType="separate"/>
      </w:r>
      <w:r w:rsidR="00762F11" w:rsidRPr="00762F11">
        <w:rPr>
          <w:noProof/>
        </w:rPr>
        <w:t>(Méndez et al., 2015)</w:t>
      </w:r>
      <w:r w:rsidR="00762F11" w:rsidRPr="00926C0B">
        <w:rPr>
          <w:lang w:val="es-CO"/>
        </w:rPr>
        <w:fldChar w:fldCharType="end"/>
      </w:r>
      <w:r w:rsidR="00762F11" w:rsidRPr="00762F11">
        <w:t xml:space="preserve">. </w:t>
      </w:r>
      <w:r w:rsidRPr="0086167C">
        <w:t xml:space="preserve">For this reason, large amounts of avocado not suitable for consumption are generated, becoming an economic, social, and environmental problem. As an alternative for valorizing this type of biomass, it becomes interesting to obtain value-added products that allow reducing the effects caused by final disposal methods </w:t>
      </w:r>
      <w:r w:rsidR="008F6E0F">
        <w:fldChar w:fldCharType="begin" w:fldLock="1"/>
      </w:r>
      <w:r w:rsidR="00DF3716">
        <w:instrText>ADDIN CSL_CITATION {"citationItems":[{"id":"ITEM-1","itemData":{"DOI":"10.3303/CET2183067","ISBN":"9788895608815","author":[{"dropping-particle":"","family":"Poveda-Giraldo","given":"Jhonny A","non-dropping-particle":"","parse-names":false,"suffix":""},{"dropping-particle":"","family":"Piedrahita-Rodríguez","given":"S","non-dropping-particle":"","parse-names":false,"suffix":""},{"dropping-particle":"","family":"Cardona-Alzate","given":"C A","non-dropping-particle":"","parse-names":false,"suffix":""}],"container-title":"Chemical Engineering Transactions","id":"ITEM-1","issued":{"date-parts":[["2021"]]},"page":"397-402","title":"Life Cycle Analysis of Biotechnological Processes based on the Composition of the Raw Material . Eucalyptus , Avocado , and Plantain cases in a Biorefinery System","type":"article-journal","volume":"83"},"uris":["http://www.mendeley.com/documents/?uuid=2faf842b-c3b4-4e7d-a235-099ade8755ee"]}],"mendeley":{"formattedCitation":"(Poveda-Giraldo et al., 2021)","manualFormatting":"(Poveda et al., 2021)","plainTextFormattedCitation":"(Poveda-Giraldo et al., 2021)","previouslyFormattedCitation":"(Poveda-Giraldo, Piedrahita-Rodríguez and Cardona-Alzate, 2021)"},"properties":{"noteIndex":0},"schema":"https://github.com/citation-style-language/schema/raw/master/csl-citation.json"}</w:instrText>
      </w:r>
      <w:r w:rsidR="008F6E0F">
        <w:fldChar w:fldCharType="separate"/>
      </w:r>
      <w:r w:rsidR="008F6E0F" w:rsidRPr="008F6E0F">
        <w:rPr>
          <w:noProof/>
        </w:rPr>
        <w:t>(Poveda</w:t>
      </w:r>
      <w:r w:rsidR="008F6E0F">
        <w:rPr>
          <w:noProof/>
        </w:rPr>
        <w:t xml:space="preserve"> et al., </w:t>
      </w:r>
      <w:r w:rsidR="008F6E0F" w:rsidRPr="008F6E0F">
        <w:rPr>
          <w:noProof/>
        </w:rPr>
        <w:t>2021)</w:t>
      </w:r>
      <w:r w:rsidR="008F6E0F">
        <w:fldChar w:fldCharType="end"/>
      </w:r>
      <w:r w:rsidR="00762F11">
        <w:t xml:space="preserve">. </w:t>
      </w:r>
      <w:r w:rsidRPr="0086167C">
        <w:t xml:space="preserve">Obtaining products from renewable sources favors the development of agriculture and reduces the deterioration of the environment. In order not to affect food production and consumption, other sources of oil have been sought, such as palm, jatropha </w:t>
      </w:r>
      <w:r w:rsidR="00762F11" w:rsidRPr="00926C0B">
        <w:rPr>
          <w:rFonts w:eastAsiaTheme="minorHAnsi"/>
          <w:lang w:val="es-CO"/>
        </w:rPr>
        <w:fldChar w:fldCharType="begin" w:fldLock="1"/>
      </w:r>
      <w:r w:rsidR="00DF3716">
        <w:rPr>
          <w:rFonts w:eastAsiaTheme="minorHAnsi"/>
        </w:rPr>
        <w:instrText>ADDIN CSL_CITATION {"citationItems":[{"id":"ITEM-1","itemData":{"DOI":"10.1590/2224-6185.2013.2.","ISSN":"2224-6185","author":[{"dropping-particle":"","family":"Castillo","given":"Aniuska","non-dropping-particle":"","parse-names":false,"suffix":""},{"dropping-particle":"","family":"Benigno","given":"Luis","non-dropping-particle":"","parse-names":false,"suffix":""},{"dropping-particle":"","family":"Penedo","given":"Margarita","non-dropping-particle":"","parse-names":false,"suffix":""},{"dropping-particle":"","family":"Sanchez","given":"Ana","non-dropping-particle":"","parse-names":false,"suffix":""}],"container-title":"Tecnologí­a Química","id":"ITEM-1","issue":"2","issued":{"date-parts":[["2013"]]},"page":"107-120","title":"Simulation of the Production Process of Biodiesel From Jatropha Curcas Oil","type":"article-journal","volume":"33"},"uris":["http://www.mendeley.com/documents/?uuid=5f2ffa4c-8e1c-4011-8086-93d08258f368"]}],"mendeley":{"formattedCitation":"(Castillo et al., 2013)","manualFormatting":"(Castillo et al., 2013)","plainTextFormattedCitation":"(Castillo et al., 2013)","previouslyFormattedCitation":"(Castillo &lt;i&gt;et al.&lt;/i&gt;, 2013)"},"properties":{"noteIndex":0},"schema":"https://github.com/citation-style-language/schema/raw/master/csl-citation.json"}</w:instrText>
      </w:r>
      <w:r w:rsidR="00762F11" w:rsidRPr="00926C0B">
        <w:rPr>
          <w:rFonts w:eastAsiaTheme="minorHAnsi"/>
          <w:lang w:val="es-CO"/>
        </w:rPr>
        <w:fldChar w:fldCharType="separate"/>
      </w:r>
      <w:r w:rsidR="00762F11" w:rsidRPr="00762F11">
        <w:rPr>
          <w:rFonts w:eastAsiaTheme="minorHAnsi"/>
          <w:noProof/>
        </w:rPr>
        <w:t>(Castillo et al., 2013)</w:t>
      </w:r>
      <w:r w:rsidR="00762F11" w:rsidRPr="00926C0B">
        <w:rPr>
          <w:rFonts w:eastAsiaTheme="minorHAnsi"/>
          <w:lang w:val="es-CO"/>
        </w:rPr>
        <w:fldChar w:fldCharType="end"/>
      </w:r>
      <w:r w:rsidR="00762F11" w:rsidRPr="00762F11">
        <w:rPr>
          <w:rFonts w:eastAsiaTheme="minorHAnsi"/>
        </w:rPr>
        <w:t xml:space="preserve">, </w:t>
      </w:r>
      <w:r w:rsidRPr="0086167C">
        <w:t>avocado crop residues, among others.</w:t>
      </w:r>
    </w:p>
    <w:p w14:paraId="2A28A2DE" w14:textId="3A9E54AD" w:rsidR="0086167C" w:rsidRPr="0037118E" w:rsidRDefault="00AA44E1" w:rsidP="0086167C">
      <w:pPr>
        <w:pStyle w:val="CETBodytext"/>
      </w:pPr>
      <w:r w:rsidRPr="008F6E0F">
        <w:t xml:space="preserve">Many chemical plants currently in operation were designed under practices that do not make the most of energy and process streams, causing pollution, economic, and social problems. Due to this, it is important to detect and analyze the measures that allow improving existing plants or designing new processes under innovative and sustainable methodologies </w:t>
      </w:r>
      <w:r w:rsidR="008F6E0F" w:rsidRPr="008F6E0F">
        <w:fldChar w:fldCharType="begin" w:fldLock="1"/>
      </w:r>
      <w:r w:rsidR="00DF3716">
        <w:instrText>ADDIN CSL_CITATION {"citationItems":[{"id":"ITEM-1","itemData":{"DOI":"10.3303/CET2186120","ISBN":"9788895608846","ISSN":"22839216","author":[{"dropping-particle":"","family":"Dyudnev","given":"Vyacheslav","non-dropping-particle":"","parse-names":false,"suffix":""},{"dropping-particle":"","family":"Korotkii","given":"Vitalii","non-dropping-particle":"","parse-names":false,"suffix":""},{"dropping-particle":"","family":"Novgorodtsev","given":"Stanislav","non-dropping-particle":"","parse-names":false,"suffix":""},{"dropping-particle":"","family":"Boldyryev","given":"Stanislav","non-dropping-particle":"","parse-names":false,"suffix":""},{"dropping-particle":"","family":"Pretoro","given":"Alessandro","non-dropping-particle":"Di","parse-names":false,"suffix":""},{"dropping-particle":"","family":"Bragina","given":"Julia","non-dropping-particle":"","parse-names":false,"suffix":""},{"dropping-particle":"","family":"Trusova","given":"Marina","non-dropping-particle":"","parse-names":false,"suffix":""},{"dropping-particle":"","family":"Manenti","given":"Flavio","non-dropping-particle":"","parse-names":false,"suffix":""}],"container-title":"Chemical Engineering Transactions","id":"ITEM-1","issue":"April","issued":{"date-parts":[["2021"]]},"page":"715-720","title":"Energy analysis and process simulation for the energy efficiency improvement of existing chemical plants","type":"article-journal","volume":"86"},"uris":["http://www.mendeley.com/documents/?uuid=91506e16-5438-43ab-9d12-57f3b1d3b2f7"]}],"mendeley":{"formattedCitation":"(Dyudnev et al., 2021)","manualFormatting":"(Dyudnev et al., 2021)","plainTextFormattedCitation":"(Dyudnev et al., 2021)","previouslyFormattedCitation":"(Dyudnev &lt;i&gt;et al.&lt;/i&gt;, 2021)"},"properties":{"noteIndex":0},"schema":"https://github.com/citation-style-language/schema/raw/master/csl-citation.json"}</w:instrText>
      </w:r>
      <w:r w:rsidR="008F6E0F" w:rsidRPr="008F6E0F">
        <w:fldChar w:fldCharType="separate"/>
      </w:r>
      <w:r w:rsidR="008F6E0F" w:rsidRPr="008F6E0F">
        <w:rPr>
          <w:noProof/>
        </w:rPr>
        <w:t>(Dyudnev et al., 2021)</w:t>
      </w:r>
      <w:r w:rsidR="008F6E0F" w:rsidRPr="008F6E0F">
        <w:fldChar w:fldCharType="end"/>
      </w:r>
      <w:r w:rsidR="00076431" w:rsidRPr="008F6E0F">
        <w:t>.</w:t>
      </w:r>
      <w:r w:rsidR="00076431" w:rsidRPr="00A854CD">
        <w:rPr>
          <w:color w:val="FF0000"/>
        </w:rPr>
        <w:t xml:space="preserve"> </w:t>
      </w:r>
      <w:r w:rsidRPr="0086167C">
        <w:t xml:space="preserve">Process simulation is a tool that provides innumerable facilities to the chemical industry because it facilitates the achievement of the proposed objectives, thus saving time and money </w:t>
      </w:r>
      <w:r w:rsidR="00762F11" w:rsidRPr="00926C0B">
        <w:rPr>
          <w:rFonts w:eastAsiaTheme="minorHAnsi"/>
          <w:lang w:val="es-CO"/>
        </w:rPr>
        <w:fldChar w:fldCharType="begin" w:fldLock="1"/>
      </w:r>
      <w:r w:rsidR="00DF3716">
        <w:rPr>
          <w:rFonts w:eastAsiaTheme="minorHAnsi"/>
        </w:rPr>
        <w:instrText>ADDIN CSL_CITATION {"citationItems":[{"id":"ITEM-1","itemData":{"DOI":"10.1590/2224-6185.2013.2.","ISSN":"2224-6185","author":[{"dropping-particle":"","family":"Castillo","given":"Aniuska","non-dropping-particle":"","parse-names":false,"suffix":""},{"dropping-particle":"","family":"Benigno","given":"Luis","non-dropping-particle":"","parse-names":false,"suffix":""},{"dropping-particle":"","family":"Penedo","given":"Margarita","non-dropping-particle":"","parse-names":false,"suffix":""},{"dropping-particle":"","family":"Sanchez","given":"Ana","non-dropping-particle":"","parse-names":false,"suffix":""}],"container-title":"Tecnologí­a Química","id":"ITEM-1","issue":"2","issued":{"date-parts":[["2013"]]},"page":"107-120","title":"Simulation of the Production Process of Biodiesel From Jatropha Curcas Oil","type":"article-journal","volume":"33"},"uris":["http://www.mendeley.com/documents/?uuid=5f2ffa4c-8e1c-4011-8086-93d08258f368"]}],"mendeley":{"formattedCitation":"(Castillo et al., 2013)","manualFormatting":"(Castillo et al., 2013)","plainTextFormattedCitation":"(Castillo et al., 2013)","previouslyFormattedCitation":"(Castillo &lt;i&gt;et al.&lt;/i&gt;, 2013)"},"properties":{"noteIndex":0},"schema":"https://github.com/citation-style-language/schema/raw/master/csl-citation.json"}</w:instrText>
      </w:r>
      <w:r w:rsidR="00762F11" w:rsidRPr="00926C0B">
        <w:rPr>
          <w:rFonts w:eastAsiaTheme="minorHAnsi"/>
          <w:lang w:val="es-CO"/>
        </w:rPr>
        <w:fldChar w:fldCharType="separate"/>
      </w:r>
      <w:r w:rsidR="00762F11" w:rsidRPr="00762F11">
        <w:rPr>
          <w:rFonts w:eastAsiaTheme="minorHAnsi"/>
          <w:noProof/>
        </w:rPr>
        <w:t>(Castillo et al., 2013)</w:t>
      </w:r>
      <w:r w:rsidR="00762F11" w:rsidRPr="00926C0B">
        <w:rPr>
          <w:rFonts w:eastAsiaTheme="minorHAnsi"/>
          <w:lang w:val="es-CO"/>
        </w:rPr>
        <w:fldChar w:fldCharType="end"/>
      </w:r>
      <w:r w:rsidR="00762F11" w:rsidRPr="00762F11">
        <w:rPr>
          <w:rFonts w:eastAsiaTheme="minorHAnsi"/>
        </w:rPr>
        <w:t xml:space="preserve">, </w:t>
      </w:r>
      <w:r w:rsidRPr="0086167C">
        <w:t xml:space="preserve">likewise, the simulation of processes allows analyzing different design </w:t>
      </w:r>
      <w:r w:rsidRPr="0086167C">
        <w:lastRenderedPageBreak/>
        <w:t>configurations and operating conditions, to determine the technical feasibility of a proces</w:t>
      </w:r>
      <w:r w:rsidR="00EB6950">
        <w:t xml:space="preserve">s </w:t>
      </w:r>
      <w:r w:rsidR="00EB6950">
        <w:fldChar w:fldCharType="begin" w:fldLock="1"/>
      </w:r>
      <w:r w:rsidR="00A13ED9">
        <w:instrText>ADDIN CSL_CITATION {"citationItems":[{"id":"ITEM-1","itemData":{"author":[{"dropping-particle":"","family":"Polo","given":"Lorena","non-dropping-particle":"","parse-names":false,"suffix":""}],"id":"ITEM-1","issued":{"date-parts":[["2017"]]},"number-of-pages":"1-81","publisher":"Instituto Politecnico Nacional Centro Mexicano para la Producción más Limpia","title":"Simulación de una planta de obtención de biodiesel mediante transesterificación catalítica homogénea de trioleína de aceite de palma","type":"thesis"},"uris":["http://www.mendeley.com/documents/?uuid=8b7c3e59-f6bd-4680-a7f8-b9106e10303b"]}],"mendeley":{"formattedCitation":"(Polo, 2017)","manualFormatting":"(Polo, 2017)","plainTextFormattedCitation":"(Polo, 2017)","previouslyFormattedCitation":"(Polo, 2017)"},"properties":{"noteIndex":0},"schema":"https://github.com/citation-style-language/schema/raw/master/csl-citation.json"}</w:instrText>
      </w:r>
      <w:r w:rsidR="00EB6950">
        <w:fldChar w:fldCharType="separate"/>
      </w:r>
      <w:r w:rsidR="00EB6950" w:rsidRPr="00EB6950">
        <w:rPr>
          <w:noProof/>
        </w:rPr>
        <w:t>(Polo</w:t>
      </w:r>
      <w:r w:rsidR="00EB6950">
        <w:rPr>
          <w:noProof/>
        </w:rPr>
        <w:t>,</w:t>
      </w:r>
      <w:r w:rsidR="00EB6950" w:rsidRPr="00EB6950">
        <w:rPr>
          <w:noProof/>
        </w:rPr>
        <w:t xml:space="preserve"> 2017)</w:t>
      </w:r>
      <w:r w:rsidR="00EB6950">
        <w:fldChar w:fldCharType="end"/>
      </w:r>
      <w:r w:rsidR="00762F11" w:rsidRPr="00762F11">
        <w:t xml:space="preserve">. </w:t>
      </w:r>
      <w:r w:rsidRPr="0086167C">
        <w:t xml:space="preserve">In the present study, the design and simulation of the process </w:t>
      </w:r>
      <w:r w:rsidRPr="0037118E">
        <w:t>of obtaining avocado oil from the pulp of this fruit were developed, for which the Aspen plus simulator was used. 30</w:t>
      </w:r>
      <w:r w:rsidR="008F6E0F">
        <w:t xml:space="preserve"> </w:t>
      </w:r>
      <w:r w:rsidRPr="0037118E">
        <w:t>% of the avocado production in the Montes de María region was considered as the processing capacity of the process. In addition, a thermodynamic model was selected that adjusts to the characteristics of the process and equipment necessary to achieve maximum product performance.</w:t>
      </w:r>
    </w:p>
    <w:p w14:paraId="73FCF5CA" w14:textId="77777777" w:rsidR="00147575" w:rsidRPr="0037118E" w:rsidRDefault="00AA44E1" w:rsidP="00147575">
      <w:pPr>
        <w:pStyle w:val="CETHeading1"/>
      </w:pPr>
      <w:r w:rsidRPr="0037118E">
        <w:t>Materials and methods</w:t>
      </w:r>
    </w:p>
    <w:p w14:paraId="4A6E29BD" w14:textId="112DE7C4" w:rsidR="00147575" w:rsidRDefault="00AA44E1" w:rsidP="00347331">
      <w:pPr>
        <w:pStyle w:val="CETheadingx"/>
        <w:rPr>
          <w:color w:val="auto"/>
        </w:rPr>
      </w:pPr>
      <w:r w:rsidRPr="0037118E">
        <w:rPr>
          <w:color w:val="auto"/>
        </w:rPr>
        <w:t>Process description</w:t>
      </w:r>
    </w:p>
    <w:p w14:paraId="512795E6" w14:textId="01409328" w:rsidR="00FC25C8" w:rsidRPr="00FC25C8" w:rsidRDefault="00FC25C8" w:rsidP="00FC25C8">
      <w:pPr>
        <w:pStyle w:val="CETBodytext"/>
      </w:pPr>
      <w:r w:rsidRPr="00FC25C8">
        <w:t xml:space="preserve">Figure 1 shows the oil </w:t>
      </w:r>
      <w:r w:rsidR="00956B12">
        <w:t>production</w:t>
      </w:r>
      <w:r w:rsidRPr="00FC25C8">
        <w:t xml:space="preserve"> chain from avocado pulp, from the harvest of the fruit to the final use of the product.</w:t>
      </w:r>
    </w:p>
    <w:p w14:paraId="4B47E9C0" w14:textId="77777777" w:rsidR="002F218C" w:rsidRDefault="002F218C" w:rsidP="002F218C">
      <w:pPr>
        <w:spacing w:line="22" w:lineRule="atLeast"/>
        <w:rPr>
          <w:lang w:val="en-US"/>
        </w:rPr>
      </w:pPr>
      <w:r>
        <w:rPr>
          <w:noProof/>
          <w:lang w:val="es-CO" w:eastAsia="es-CO"/>
        </w:rPr>
        <w:drawing>
          <wp:inline distT="0" distB="0" distL="0" distR="0" wp14:anchorId="0ADDFE7B" wp14:editId="0178755A">
            <wp:extent cx="5579745" cy="225933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579745" cy="2259330"/>
                    </a:xfrm>
                    <a:prstGeom prst="rect">
                      <a:avLst/>
                    </a:prstGeom>
                    <a:noFill/>
                    <a:ln>
                      <a:noFill/>
                    </a:ln>
                  </pic:spPr>
                </pic:pic>
              </a:graphicData>
            </a:graphic>
          </wp:inline>
        </w:drawing>
      </w:r>
    </w:p>
    <w:p w14:paraId="59B477EA" w14:textId="4CE38547" w:rsidR="002F218C" w:rsidRPr="002F218C" w:rsidRDefault="00FC25C8" w:rsidP="00FC25C8">
      <w:pPr>
        <w:pStyle w:val="CETCaption"/>
        <w:rPr>
          <w:lang w:val="en-US"/>
        </w:rPr>
      </w:pPr>
      <w:r>
        <w:rPr>
          <w:lang w:val="en-US"/>
        </w:rPr>
        <w:t xml:space="preserve">Figure 1: </w:t>
      </w:r>
      <w:r w:rsidR="002F218C" w:rsidRPr="002F218C">
        <w:rPr>
          <w:lang w:val="en-US"/>
        </w:rPr>
        <w:t>Oil production chain from avocado</w:t>
      </w:r>
    </w:p>
    <w:p w14:paraId="0AC9BFA6" w14:textId="255A15F0" w:rsidR="00FC25C8" w:rsidRDefault="00AA44E1" w:rsidP="00FC25C8">
      <w:pPr>
        <w:pStyle w:val="CETBodytext"/>
        <w:rPr>
          <w:noProof/>
          <w:lang w:eastAsia="es-ES_tradnl"/>
        </w:rPr>
      </w:pPr>
      <w:r w:rsidRPr="0037118E">
        <w:rPr>
          <w:noProof/>
          <w:lang w:eastAsia="es-ES_tradnl"/>
        </w:rPr>
        <w:t xml:space="preserve">Figures </w:t>
      </w:r>
      <w:r w:rsidR="00FC25C8">
        <w:rPr>
          <w:noProof/>
          <w:lang w:eastAsia="es-ES_tradnl"/>
        </w:rPr>
        <w:t>2</w:t>
      </w:r>
      <w:r w:rsidRPr="0037118E">
        <w:rPr>
          <w:noProof/>
          <w:lang w:eastAsia="es-ES_tradnl"/>
        </w:rPr>
        <w:t xml:space="preserve"> and </w:t>
      </w:r>
      <w:r w:rsidR="00FC25C8">
        <w:rPr>
          <w:noProof/>
          <w:lang w:eastAsia="es-ES_tradnl"/>
        </w:rPr>
        <w:t>3</w:t>
      </w:r>
      <w:r w:rsidRPr="0037118E">
        <w:rPr>
          <w:noProof/>
          <w:lang w:eastAsia="es-ES_tradnl"/>
        </w:rPr>
        <w:t xml:space="preserve"> show</w:t>
      </w:r>
      <w:r w:rsidR="00956B12">
        <w:rPr>
          <w:noProof/>
          <w:lang w:eastAsia="es-ES_tradnl"/>
        </w:rPr>
        <w:t>s</w:t>
      </w:r>
      <w:r w:rsidRPr="0037118E">
        <w:rPr>
          <w:noProof/>
          <w:lang w:eastAsia="es-ES_tradnl"/>
        </w:rPr>
        <w:t xml:space="preserve"> the flow diagram of the avocado oil extraction process with the use of organic solvent. 10</w:t>
      </w:r>
      <w:r w:rsidR="00887682">
        <w:rPr>
          <w:noProof/>
          <w:lang w:eastAsia="es-ES_tradnl"/>
        </w:rPr>
        <w:t>,</w:t>
      </w:r>
      <w:r w:rsidRPr="0037118E">
        <w:rPr>
          <w:noProof/>
          <w:lang w:eastAsia="es-ES_tradnl"/>
        </w:rPr>
        <w:t>605 t/y of avocado</w:t>
      </w:r>
      <w:r w:rsidR="00E126BF">
        <w:rPr>
          <w:noProof/>
          <w:lang w:eastAsia="es-ES_tradnl"/>
        </w:rPr>
        <w:t xml:space="preserve"> </w:t>
      </w:r>
      <w:r w:rsidR="00E126BF" w:rsidRPr="00E126BF">
        <w:rPr>
          <w:noProof/>
          <w:lang w:eastAsia="es-ES_tradnl"/>
        </w:rPr>
        <w:t>of the Creole-Antillean variety</w:t>
      </w:r>
      <w:r w:rsidRPr="0037118E">
        <w:rPr>
          <w:noProof/>
          <w:lang w:eastAsia="es-ES_tradnl"/>
        </w:rPr>
        <w:t xml:space="preserve"> (stream 1) are fed to the process, this is washed (W-AVOC) with a solution of sodium hypochlorite, for every 97 kg of avocado 200 liters of water are used  </w:t>
      </w:r>
      <w:r w:rsidRPr="0037118E">
        <w:rPr>
          <w:noProof/>
          <w:lang w:val="es-CO" w:eastAsia="es-ES_tradnl"/>
        </w:rPr>
        <w:fldChar w:fldCharType="begin" w:fldLock="1"/>
      </w:r>
      <w:r w:rsidR="00A13ED9">
        <w:rPr>
          <w:noProof/>
          <w:lang w:eastAsia="es-ES_tradnl"/>
        </w:rPr>
        <w:instrText>ADDIN CSL_CITATION {"citationItems":[{"id":"ITEM-1","itemData":{"ISBN":"7125116035","author":[{"dropping-particle":"","family":"Acosta","given":"Martha","non-dropping-particle":"","parse-names":false,"suffix":""}],"id":"ITEM-1","issued":{"date-parts":[["2011"]]},"number-of-pages":"138-155","publisher":"Universidad Nacional de Colombia","title":"Evaluacion y escalamiento del proceso de extraccion de aceite de aguacate utilizando tratamiento enzimatico","type":"thesis"},"uris":["http://www.mendeley.com/documents/?uuid=a925c87b-d40c-42ba-b05e-316769c969f2"]}],"mendeley":{"formattedCitation":"(Acosta, 2011)","manualFormatting":"(Acosta, 2011)","plainTextFormattedCitation":"(Acosta, 2011)","previouslyFormattedCitation":"(Acosta, 2011)"},"properties":{"noteIndex":0},"schema":"https://github.com/citation-style-language/schema/raw/master/csl-citation.json"}</w:instrText>
      </w:r>
      <w:r w:rsidRPr="0037118E">
        <w:rPr>
          <w:noProof/>
          <w:lang w:val="es-CO" w:eastAsia="es-ES_tradnl"/>
        </w:rPr>
        <w:fldChar w:fldCharType="separate"/>
      </w:r>
      <w:r w:rsidRPr="0037118E">
        <w:rPr>
          <w:noProof/>
          <w:lang w:eastAsia="es-ES_tradnl"/>
        </w:rPr>
        <w:t>(Acosta, 2011)</w:t>
      </w:r>
      <w:r w:rsidRPr="0037118E">
        <w:rPr>
          <w:noProof/>
          <w:lang w:val="es-CO" w:eastAsia="es-ES_tradnl"/>
        </w:rPr>
        <w:fldChar w:fldCharType="end"/>
      </w:r>
      <w:r w:rsidRPr="0037118E">
        <w:rPr>
          <w:noProof/>
          <w:lang w:eastAsia="es-ES_tradnl"/>
        </w:rPr>
        <w:t xml:space="preserve">. </w:t>
      </w:r>
    </w:p>
    <w:p w14:paraId="3D6D2C55" w14:textId="77777777" w:rsidR="009B6E0D" w:rsidRDefault="009B6E0D" w:rsidP="00FC25C8">
      <w:pPr>
        <w:pStyle w:val="CETBodytext"/>
        <w:rPr>
          <w:noProof/>
          <w:lang w:eastAsia="es-ES_tradnl"/>
        </w:rPr>
      </w:pPr>
    </w:p>
    <w:p w14:paraId="30284E20" w14:textId="2D82EA1E" w:rsidR="00AA44E1" w:rsidRDefault="00AA44E1" w:rsidP="00FC25C8">
      <w:pPr>
        <w:pStyle w:val="CETBodytext"/>
        <w:rPr>
          <w:rStyle w:val="CETCaptionCarattere"/>
        </w:rPr>
      </w:pPr>
      <w:r w:rsidRPr="0037118E">
        <w:rPr>
          <w:noProof/>
          <w:lang w:val="es-CO" w:eastAsia="es-CO"/>
        </w:rPr>
        <w:drawing>
          <wp:inline distT="0" distB="0" distL="0" distR="0" wp14:anchorId="71AF455F" wp14:editId="6C053CA1">
            <wp:extent cx="5524500" cy="310853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0"/>
                    <a:srcRect l="4439" t="25506" r="37009" b="15891"/>
                    <a:stretch>
                      <a:fillRect/>
                    </a:stretch>
                  </pic:blipFill>
                  <pic:spPr bwMode="auto">
                    <a:xfrm>
                      <a:off x="0" y="0"/>
                      <a:ext cx="5562368" cy="3129844"/>
                    </a:xfrm>
                    <a:prstGeom prst="rect">
                      <a:avLst/>
                    </a:prstGeom>
                    <a:ln>
                      <a:noFill/>
                    </a:ln>
                    <a:extLst>
                      <a:ext uri="{53640926-AAD7-44D8-BBD7-CCE9431645EC}">
                        <a14:shadowObscured xmlns:a14="http://schemas.microsoft.com/office/drawing/2010/main"/>
                      </a:ext>
                    </a:extLst>
                  </pic:spPr>
                </pic:pic>
              </a:graphicData>
            </a:graphic>
          </wp:inline>
        </w:drawing>
      </w:r>
    </w:p>
    <w:p w14:paraId="59443948" w14:textId="10F72B4C" w:rsidR="00F31068" w:rsidRPr="009B6E0D" w:rsidRDefault="00AA44E1" w:rsidP="009B6E0D">
      <w:pPr>
        <w:pStyle w:val="CETCaption"/>
        <w:rPr>
          <w:rStyle w:val="CETCaptionCarattere"/>
          <w:i/>
        </w:rPr>
      </w:pPr>
      <w:r w:rsidRPr="009B6E0D">
        <w:rPr>
          <w:rStyle w:val="CETCaptionCarattere"/>
          <w:i/>
        </w:rPr>
        <w:t xml:space="preserve">Figure </w:t>
      </w:r>
      <w:r w:rsidR="009B6E0D" w:rsidRPr="009B6E0D">
        <w:rPr>
          <w:rStyle w:val="CETCaptionCarattere"/>
          <w:i/>
        </w:rPr>
        <w:t>2:</w:t>
      </w:r>
      <w:r w:rsidRPr="009B6E0D">
        <w:rPr>
          <w:rStyle w:val="CETCaptionCarattere"/>
          <w:i/>
        </w:rPr>
        <w:t xml:space="preserve"> </w:t>
      </w:r>
      <w:r w:rsidR="0028413F" w:rsidRPr="009B6E0D">
        <w:rPr>
          <w:rStyle w:val="CETCaptionCarattere"/>
          <w:i/>
        </w:rPr>
        <w:t>Main flowsheet o</w:t>
      </w:r>
      <w:r w:rsidR="00956B12">
        <w:rPr>
          <w:rStyle w:val="CETCaptionCarattere"/>
          <w:i/>
        </w:rPr>
        <w:t>f</w:t>
      </w:r>
      <w:r w:rsidR="0028413F" w:rsidRPr="009B6E0D">
        <w:rPr>
          <w:rStyle w:val="CETCaptionCarattere"/>
          <w:i/>
        </w:rPr>
        <w:t xml:space="preserve"> avocado oil extraction process</w:t>
      </w:r>
      <w:r w:rsidR="00956B12">
        <w:rPr>
          <w:rStyle w:val="CETCaptionCarattere"/>
          <w:i/>
        </w:rPr>
        <w:t xml:space="preserve"> (Part 1)</w:t>
      </w:r>
      <w:r w:rsidR="0028413F" w:rsidRPr="009B6E0D">
        <w:rPr>
          <w:rStyle w:val="CETCaptionCarattere"/>
          <w:i/>
        </w:rPr>
        <w:t>.</w:t>
      </w:r>
    </w:p>
    <w:p w14:paraId="275FCC6E" w14:textId="1D2DD2F1" w:rsidR="00BE3845" w:rsidRDefault="00FC25C8" w:rsidP="00AA44E1">
      <w:pPr>
        <w:spacing w:line="22" w:lineRule="atLeast"/>
        <w:rPr>
          <w:noProof/>
          <w:lang w:eastAsia="es-ES_tradnl"/>
        </w:rPr>
      </w:pPr>
      <w:r w:rsidRPr="0037118E">
        <w:rPr>
          <w:noProof/>
          <w:lang w:eastAsia="es-ES_tradnl"/>
        </w:rPr>
        <w:lastRenderedPageBreak/>
        <w:t>Subsequently, the avocado skin is removed (SEP-PEEL), in the next stage (PULP-EXT) the pulp (stream 7) is separated from the seed (stream 8). The shell and the seed are washed to recover the pulp that remains after the peeling and pulping stages, obtaining streams 10 and 13 as recovered pulp and water, respectively, these pass to a centrifugation stage (B10) to remove the water; In total, approximately 26,000 ton</w:t>
      </w:r>
      <w:r>
        <w:rPr>
          <w:noProof/>
          <w:lang w:eastAsia="es-ES_tradnl"/>
        </w:rPr>
        <w:t>ne</w:t>
      </w:r>
      <w:r w:rsidRPr="0037118E">
        <w:rPr>
          <w:noProof/>
          <w:lang w:eastAsia="es-ES_tradnl"/>
        </w:rPr>
        <w:t>s of water are used per year for the washing stages.</w:t>
      </w:r>
    </w:p>
    <w:p w14:paraId="67BD7095" w14:textId="77777777" w:rsidR="009B6E0D" w:rsidRDefault="009B6E0D" w:rsidP="00AA44E1">
      <w:pPr>
        <w:spacing w:line="22" w:lineRule="atLeast"/>
        <w:rPr>
          <w:rStyle w:val="CETCaptionCarattere"/>
        </w:rPr>
      </w:pPr>
    </w:p>
    <w:p w14:paraId="637DAB67" w14:textId="77777777" w:rsidR="005F61C4" w:rsidRPr="0037118E" w:rsidRDefault="00AA44E1" w:rsidP="005F61C4">
      <w:pPr>
        <w:pStyle w:val="CETBodytext"/>
        <w:rPr>
          <w:lang w:val="es-CO" w:eastAsia="es-ES_tradnl"/>
        </w:rPr>
      </w:pPr>
      <w:r w:rsidRPr="0037118E">
        <w:rPr>
          <w:noProof/>
          <w:lang w:val="es-CO" w:eastAsia="es-CO"/>
        </w:rPr>
        <w:drawing>
          <wp:inline distT="0" distB="0" distL="0" distR="0" wp14:anchorId="1FF3D4B7" wp14:editId="68343D6E">
            <wp:extent cx="5522932" cy="244792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1"/>
                    <a:srcRect l="9963" t="25810" r="16859" b="16498"/>
                    <a:stretch>
                      <a:fillRect/>
                    </a:stretch>
                  </pic:blipFill>
                  <pic:spPr bwMode="auto">
                    <a:xfrm>
                      <a:off x="0" y="0"/>
                      <a:ext cx="5529967" cy="2451043"/>
                    </a:xfrm>
                    <a:prstGeom prst="rect">
                      <a:avLst/>
                    </a:prstGeom>
                    <a:ln>
                      <a:noFill/>
                    </a:ln>
                    <a:extLst>
                      <a:ext uri="{53640926-AAD7-44D8-BBD7-CCE9431645EC}">
                        <a14:shadowObscured xmlns:a14="http://schemas.microsoft.com/office/drawing/2010/main"/>
                      </a:ext>
                    </a:extLst>
                  </pic:spPr>
                </pic:pic>
              </a:graphicData>
            </a:graphic>
          </wp:inline>
        </w:drawing>
      </w:r>
    </w:p>
    <w:p w14:paraId="6725882D" w14:textId="1B6E5AD0" w:rsidR="00147575" w:rsidRDefault="00AA44E1" w:rsidP="0028413F">
      <w:pPr>
        <w:pStyle w:val="CETCaption"/>
        <w:rPr>
          <w:lang w:val="en-US"/>
        </w:rPr>
      </w:pPr>
      <w:r w:rsidRPr="0037118E">
        <w:rPr>
          <w:lang w:val="en-US"/>
        </w:rPr>
        <w:t>Figure</w:t>
      </w:r>
      <w:r w:rsidR="00D67FCC" w:rsidRPr="0037118E">
        <w:rPr>
          <w:lang w:val="en-US"/>
        </w:rPr>
        <w:t xml:space="preserve"> </w:t>
      </w:r>
      <w:r w:rsidR="009B6E0D">
        <w:rPr>
          <w:lang w:val="en-US"/>
        </w:rPr>
        <w:t>3:</w:t>
      </w:r>
      <w:r w:rsidRPr="0037118E">
        <w:rPr>
          <w:lang w:val="en-US"/>
        </w:rPr>
        <w:t xml:space="preserve"> </w:t>
      </w:r>
      <w:r w:rsidR="00956B12" w:rsidRPr="009B6E0D">
        <w:rPr>
          <w:rStyle w:val="CETCaptionCarattere"/>
          <w:i/>
        </w:rPr>
        <w:t>Main flowsheet o</w:t>
      </w:r>
      <w:r w:rsidR="00956B12">
        <w:rPr>
          <w:rStyle w:val="CETCaptionCarattere"/>
          <w:i/>
        </w:rPr>
        <w:t>f</w:t>
      </w:r>
      <w:r w:rsidR="00956B12" w:rsidRPr="009B6E0D">
        <w:rPr>
          <w:rStyle w:val="CETCaptionCarattere"/>
          <w:i/>
        </w:rPr>
        <w:t xml:space="preserve"> avocado oil extraction process</w:t>
      </w:r>
      <w:r w:rsidR="00956B12">
        <w:rPr>
          <w:rStyle w:val="CETCaptionCarattere"/>
          <w:i/>
        </w:rPr>
        <w:t xml:space="preserve"> (Part </w:t>
      </w:r>
      <w:r w:rsidR="00956B12">
        <w:rPr>
          <w:rStyle w:val="CETCaptionCarattere"/>
          <w:i/>
        </w:rPr>
        <w:t>2</w:t>
      </w:r>
      <w:r w:rsidR="00956B12">
        <w:rPr>
          <w:rStyle w:val="CETCaptionCarattere"/>
          <w:i/>
        </w:rPr>
        <w:t>)</w:t>
      </w:r>
      <w:r w:rsidR="0028413F" w:rsidRPr="0037118E">
        <w:rPr>
          <w:lang w:val="en-US"/>
        </w:rPr>
        <w:t>.</w:t>
      </w:r>
    </w:p>
    <w:p w14:paraId="54082AAD" w14:textId="0DE92693" w:rsidR="00FC25C8" w:rsidRDefault="00FC25C8" w:rsidP="00FC25C8">
      <w:pPr>
        <w:pStyle w:val="CETBodytext"/>
        <w:rPr>
          <w:noProof/>
          <w:lang w:eastAsia="es-ES_tradnl"/>
        </w:rPr>
      </w:pPr>
      <w:r w:rsidRPr="0037118E">
        <w:rPr>
          <w:noProof/>
          <w:lang w:eastAsia="es-ES_tradnl"/>
        </w:rPr>
        <w:t xml:space="preserve">The resulting stream (stream 17) is sent together with the initially extracted pulp (stream 7) to a homogenization stage (HOMOG), then the paste formed (stream 19) is dried at 70 °C to reduce the moisture present in it </w:t>
      </w:r>
      <w:r w:rsidRPr="0037118E">
        <w:rPr>
          <w:noProof/>
          <w:lang w:val="es-CO" w:eastAsia="es-ES_tradnl"/>
        </w:rPr>
        <w:fldChar w:fldCharType="begin" w:fldLock="1"/>
      </w:r>
      <w:r>
        <w:rPr>
          <w:noProof/>
          <w:lang w:eastAsia="es-ES_tradnl"/>
        </w:rPr>
        <w:instrText>ADDIN CSL_CITATION {"citationItems":[{"id":"ITEM-1","itemData":{"author":[{"dropping-particle":"","family":"Ariza Ortega","given":"José Albero","non-dropping-particle":"","parse-names":false,"suffix":""},{"dropping-particle":"","family":"López Valdez","given":"Fernando","non-dropping-particle":"","parse-names":false,"suffix":""},{"dropping-particle":"","family":"Coyotl Huerta","given":"Judith","non-dropping-particle":"","parse-names":false,"suffix":""},{"dropping-particle":"","family":"Ramos Cassellis","given":"Maria Elena","non-dropping-particle":"","parse-names":false,"suffix":""},{"dropping-particle":"","family":"Diaz Reyes","given":"Joel","non-dropping-particle":"","parse-names":false,"suffix":""},{"dropping-particle":"","family":"Martinez Zavala","given":"Arturo","non-dropping-particle":"","parse-names":false,"suffix":""}],"container-title":"Revista Venezolana de Ciencia y Tecnologia de alimentos","id":"ITEM-1","issue":"2","issued":{"date-parts":[["2011"]]},"page":"263-276","title":"Effect of different extraction methods on the fatty acid profile in the avocado (Persea americana Mill. var. Hass) oil","type":"article-journal","volume":"2"},"uris":["http://www.mendeley.com/documents/?uuid=51cb3fa4-ee47-4ea8-86f3-405d21ffce02"]}],"mendeley":{"formattedCitation":"(Ariza Ortega et al., 2011)","manualFormatting":"(Ariza et al., 2011)","plainTextFormattedCitation":"(Ariza Ortega et al., 2011)","previouslyFormattedCitation":"(Ariza Ortega &lt;i&gt;et al.&lt;/i&gt;, 2011)"},"properties":{"noteIndex":0},"schema":"https://github.com/citation-style-language/schema/raw/master/csl-citation.json"}</w:instrText>
      </w:r>
      <w:r w:rsidRPr="0037118E">
        <w:rPr>
          <w:noProof/>
          <w:lang w:val="es-CO" w:eastAsia="es-ES_tradnl"/>
        </w:rPr>
        <w:fldChar w:fldCharType="separate"/>
      </w:r>
      <w:r w:rsidRPr="0037118E">
        <w:rPr>
          <w:noProof/>
          <w:lang w:eastAsia="es-ES_tradnl"/>
        </w:rPr>
        <w:t>(Ariza et al., 2011)</w:t>
      </w:r>
      <w:r w:rsidRPr="0037118E">
        <w:rPr>
          <w:noProof/>
          <w:lang w:val="es-CO" w:eastAsia="es-ES_tradnl"/>
        </w:rPr>
        <w:fldChar w:fldCharType="end"/>
      </w:r>
      <w:r w:rsidRPr="0037118E">
        <w:rPr>
          <w:noProof/>
          <w:lang w:eastAsia="es-ES_tradnl"/>
        </w:rPr>
        <w:t xml:space="preserve">. The dehydrated pulp is put in contact with hexane in the extraction stage (EXTR), this process is carried out at a temperature of 70 °C </w:t>
      </w:r>
      <w:r w:rsidRPr="0037118E">
        <w:rPr>
          <w:noProof/>
          <w:lang w:val="es-CO" w:eastAsia="es-ES_tradnl"/>
        </w:rPr>
        <w:fldChar w:fldCharType="begin" w:fldLock="1"/>
      </w:r>
      <w:r>
        <w:rPr>
          <w:noProof/>
          <w:lang w:eastAsia="es-ES_tradnl"/>
        </w:rPr>
        <w:instrText>ADDIN CSL_CITATION {"citationItems":[{"id":"ITEM-1","itemData":{"author":[{"dropping-particle":"","family":"Ariza Ortega","given":"José Albero","non-dropping-particle":"","parse-names":false,"suffix":""},{"dropping-particle":"","family":"López Valdez","given":"Fernando","non-dropping-particle":"","parse-names":false,"suffix":""},{"dropping-particle":"","family":"Coyotl Huerta","given":"Judith","non-dropping-particle":"","parse-names":false,"suffix":""},{"dropping-particle":"","family":"Ramos Cassellis","given":"Maria Elena","non-dropping-particle":"","parse-names":false,"suffix":""},{"dropping-particle":"","family":"Diaz Reyes","given":"Joel","non-dropping-particle":"","parse-names":false,"suffix":""},{"dropping-particle":"","family":"Martinez Zavala","given":"Arturo","non-dropping-particle":"","parse-names":false,"suffix":""}],"container-title":"Revista Venezolana de Ciencia y Tecnologia de alimentos","id":"ITEM-1","issue":"2","issued":{"date-parts":[["2011"]]},"page":"263-276","title":"Effect of different extraction methods on the fatty acid profile in the avocado (Persea americana Mill. var. Hass) oil","type":"article-journal","volume":"2"},"uris":["http://www.mendeley.com/documents/?uuid=51cb3fa4-ee47-4ea8-86f3-405d21ffce02"]}],"mendeley":{"formattedCitation":"(Ariza Ortega et al., 2011)","manualFormatting":"(Ariza et al., 2011)","plainTextFormattedCitation":"(Ariza Ortega et al., 2011)","previouslyFormattedCitation":"(Ariza Ortega &lt;i&gt;et al.&lt;/i&gt;, 2011)"},"properties":{"noteIndex":0},"schema":"https://github.com/citation-style-language/schema/raw/master/csl-citation.json"}</w:instrText>
      </w:r>
      <w:r w:rsidRPr="0037118E">
        <w:rPr>
          <w:noProof/>
          <w:lang w:val="es-CO" w:eastAsia="es-ES_tradnl"/>
        </w:rPr>
        <w:fldChar w:fldCharType="separate"/>
      </w:r>
      <w:r w:rsidRPr="0037118E">
        <w:rPr>
          <w:noProof/>
          <w:lang w:eastAsia="es-ES_tradnl"/>
        </w:rPr>
        <w:t>(Ariza et al., 2011)</w:t>
      </w:r>
      <w:r w:rsidRPr="0037118E">
        <w:rPr>
          <w:noProof/>
          <w:lang w:val="es-CO" w:eastAsia="es-ES_tradnl"/>
        </w:rPr>
        <w:fldChar w:fldCharType="end"/>
      </w:r>
      <w:r w:rsidRPr="0037118E">
        <w:rPr>
          <w:noProof/>
          <w:lang w:eastAsia="es-ES_tradnl"/>
        </w:rPr>
        <w:t>. A mixture of oil, pulp, and the solvent is obtained</w:t>
      </w:r>
      <w:r w:rsidR="0086313F">
        <w:rPr>
          <w:noProof/>
          <w:lang w:eastAsia="es-ES_tradnl"/>
        </w:rPr>
        <w:t xml:space="preserve"> (stream 23)</w:t>
      </w:r>
      <w:r w:rsidRPr="0037118E">
        <w:rPr>
          <w:noProof/>
          <w:lang w:eastAsia="es-ES_tradnl"/>
        </w:rPr>
        <w:t>, this is centrifuged (B7) obtaining residual pulp and an oil-solvent mixture</w:t>
      </w:r>
      <w:r w:rsidR="0086313F">
        <w:rPr>
          <w:noProof/>
          <w:lang w:eastAsia="es-ES_tradnl"/>
        </w:rPr>
        <w:t xml:space="preserve"> (stream 25)</w:t>
      </w:r>
      <w:r w:rsidRPr="0037118E">
        <w:rPr>
          <w:noProof/>
          <w:lang w:eastAsia="es-ES_tradnl"/>
        </w:rPr>
        <w:t>, which is then sent to a flash distillation (FLASH) to separate the oil from the hexane</w:t>
      </w:r>
      <w:r>
        <w:rPr>
          <w:noProof/>
          <w:lang w:eastAsia="es-ES_tradnl"/>
        </w:rPr>
        <w:t xml:space="preserve">; </w:t>
      </w:r>
      <w:r w:rsidRPr="00887682">
        <w:rPr>
          <w:noProof/>
          <w:lang w:eastAsia="es-ES_tradnl"/>
        </w:rPr>
        <w:t>1</w:t>
      </w:r>
      <w:r>
        <w:rPr>
          <w:noProof/>
          <w:lang w:eastAsia="es-ES_tradnl"/>
        </w:rPr>
        <w:t>,</w:t>
      </w:r>
      <w:r w:rsidRPr="00887682">
        <w:rPr>
          <w:noProof/>
          <w:lang w:eastAsia="es-ES_tradnl"/>
        </w:rPr>
        <w:t xml:space="preserve">000 t/y of avocado oil obtained in </w:t>
      </w:r>
      <w:r>
        <w:rPr>
          <w:noProof/>
          <w:lang w:eastAsia="es-ES_tradnl"/>
        </w:rPr>
        <w:t>stream</w:t>
      </w:r>
      <w:r w:rsidRPr="00887682">
        <w:rPr>
          <w:noProof/>
          <w:lang w:eastAsia="es-ES_tradnl"/>
        </w:rPr>
        <w:t xml:space="preserve"> 27 from the pulp of this fruit</w:t>
      </w:r>
      <w:r w:rsidRPr="0037118E">
        <w:rPr>
          <w:noProof/>
          <w:lang w:eastAsia="es-ES_tradnl"/>
        </w:rPr>
        <w:t xml:space="preserve">. Due to the design of the process, </w:t>
      </w:r>
      <w:r w:rsidR="00305FD7">
        <w:rPr>
          <w:noProof/>
          <w:lang w:eastAsia="es-ES_tradnl"/>
        </w:rPr>
        <w:t>approximately 97 %</w:t>
      </w:r>
      <w:r w:rsidRPr="0037118E">
        <w:rPr>
          <w:noProof/>
          <w:lang w:eastAsia="es-ES_tradnl"/>
        </w:rPr>
        <w:t xml:space="preserve"> of the recovered hexane </w:t>
      </w:r>
      <w:r w:rsidR="00305FD7">
        <w:rPr>
          <w:noProof/>
          <w:lang w:eastAsia="es-ES_tradnl"/>
        </w:rPr>
        <w:t>(stream 28)</w:t>
      </w:r>
      <w:r w:rsidR="00A5637D">
        <w:rPr>
          <w:noProof/>
          <w:lang w:eastAsia="es-ES_tradnl"/>
        </w:rPr>
        <w:t xml:space="preserve"> is</w:t>
      </w:r>
      <w:r w:rsidRPr="0037118E">
        <w:rPr>
          <w:noProof/>
          <w:lang w:eastAsia="es-ES_tradnl"/>
        </w:rPr>
        <w:t xml:space="preserve"> recirculated to the extraction stage</w:t>
      </w:r>
      <w:r w:rsidR="00305FD7">
        <w:rPr>
          <w:noProof/>
          <w:lang w:eastAsia="es-ES_tradnl"/>
        </w:rPr>
        <w:t>.</w:t>
      </w:r>
    </w:p>
    <w:p w14:paraId="25E6068F" w14:textId="77777777" w:rsidR="00E95F8D" w:rsidRPr="0037118E" w:rsidRDefault="00AA44E1" w:rsidP="00347331">
      <w:pPr>
        <w:pStyle w:val="CETheadingx"/>
        <w:rPr>
          <w:color w:val="auto"/>
        </w:rPr>
      </w:pPr>
      <w:r w:rsidRPr="0037118E">
        <w:rPr>
          <w:color w:val="auto"/>
        </w:rPr>
        <w:t xml:space="preserve">Process </w:t>
      </w:r>
      <w:r w:rsidRPr="00AA44E1">
        <w:rPr>
          <w:color w:val="auto"/>
        </w:rPr>
        <w:t>simulation</w:t>
      </w:r>
    </w:p>
    <w:p w14:paraId="43B75DC6" w14:textId="2B2F4CA6" w:rsidR="00EB28B2" w:rsidRPr="0037118E" w:rsidRDefault="00AA44E1" w:rsidP="00EB28B2">
      <w:pPr>
        <w:pStyle w:val="CETTabletitle"/>
        <w:rPr>
          <w:lang w:val="en-US"/>
        </w:rPr>
      </w:pPr>
      <w:r w:rsidRPr="0037118E">
        <w:rPr>
          <w:lang w:val="en-US"/>
        </w:rPr>
        <w:t xml:space="preserve">Table </w:t>
      </w:r>
      <w:r w:rsidR="00B7348C" w:rsidRPr="0037118E">
        <w:rPr>
          <w:lang w:val="en-US"/>
        </w:rPr>
        <w:t>1</w:t>
      </w:r>
      <w:r w:rsidR="00D849D9">
        <w:rPr>
          <w:lang w:val="en-US"/>
        </w:rPr>
        <w:t>:</w:t>
      </w:r>
      <w:r w:rsidRPr="0037118E">
        <w:rPr>
          <w:lang w:val="en-US"/>
        </w:rPr>
        <w:t xml:space="preserve"> </w:t>
      </w:r>
      <w:r w:rsidR="00B12380" w:rsidRPr="0037118E">
        <w:rPr>
          <w:lang w:val="en-US"/>
        </w:rPr>
        <w:t>Fatty acid profile of avocado pulp.</w:t>
      </w:r>
    </w:p>
    <w:tbl>
      <w:tblPr>
        <w:tblW w:w="3396" w:type="dxa"/>
        <w:tblCellMar>
          <w:left w:w="70" w:type="dxa"/>
          <w:right w:w="70" w:type="dxa"/>
        </w:tblCellMar>
        <w:tblLook w:val="04A0" w:firstRow="1" w:lastRow="0" w:firstColumn="1" w:lastColumn="0" w:noHBand="0" w:noVBand="1"/>
      </w:tblPr>
      <w:tblGrid>
        <w:gridCol w:w="2598"/>
        <w:gridCol w:w="798"/>
      </w:tblGrid>
      <w:tr w:rsidR="00FE63EB" w14:paraId="3601987E" w14:textId="77777777" w:rsidTr="00EB28B2">
        <w:trPr>
          <w:trHeight w:val="204"/>
        </w:trPr>
        <w:tc>
          <w:tcPr>
            <w:tcW w:w="3396" w:type="dxa"/>
            <w:gridSpan w:val="2"/>
            <w:tcBorders>
              <w:top w:val="double" w:sz="4" w:space="0" w:color="9BBB59" w:themeColor="accent3"/>
            </w:tcBorders>
            <w:shd w:val="clear" w:color="auto" w:fill="auto"/>
            <w:noWrap/>
            <w:vAlign w:val="bottom"/>
            <w:hideMark/>
          </w:tcPr>
          <w:p w14:paraId="6C95483F" w14:textId="77777777" w:rsidR="00EB28B2" w:rsidRPr="0037118E" w:rsidRDefault="00AA44E1" w:rsidP="00EB28B2">
            <w:pPr>
              <w:tabs>
                <w:tab w:val="clear" w:pos="7100"/>
              </w:tabs>
              <w:spacing w:line="240" w:lineRule="auto"/>
              <w:jc w:val="left"/>
              <w:rPr>
                <w:rFonts w:cs="Arial"/>
                <w:b/>
                <w:bCs/>
                <w:szCs w:val="18"/>
                <w:lang w:val="en-US" w:eastAsia="es-CO"/>
              </w:rPr>
            </w:pPr>
            <w:r w:rsidRPr="0037118E">
              <w:rPr>
                <w:b/>
                <w:bCs/>
                <w:lang w:val="en-US"/>
              </w:rPr>
              <w:t>Fatty acid profile</w:t>
            </w:r>
          </w:p>
        </w:tc>
      </w:tr>
      <w:tr w:rsidR="00FE63EB" w14:paraId="39A81978" w14:textId="77777777" w:rsidTr="00EB28B2">
        <w:trPr>
          <w:trHeight w:val="179"/>
        </w:trPr>
        <w:tc>
          <w:tcPr>
            <w:tcW w:w="2598" w:type="dxa"/>
            <w:tcBorders>
              <w:top w:val="single" w:sz="4" w:space="0" w:color="9BBB59" w:themeColor="accent3"/>
            </w:tcBorders>
            <w:shd w:val="clear" w:color="auto" w:fill="auto"/>
            <w:noWrap/>
            <w:vAlign w:val="bottom"/>
            <w:hideMark/>
          </w:tcPr>
          <w:p w14:paraId="7643DA22" w14:textId="77777777" w:rsidR="00EB28B2" w:rsidRPr="0037118E" w:rsidRDefault="00AA44E1" w:rsidP="00EB28B2">
            <w:pPr>
              <w:tabs>
                <w:tab w:val="clear" w:pos="7100"/>
              </w:tabs>
              <w:spacing w:line="240" w:lineRule="auto"/>
              <w:jc w:val="left"/>
              <w:rPr>
                <w:rFonts w:cs="Arial"/>
                <w:b/>
                <w:bCs/>
                <w:szCs w:val="18"/>
                <w:lang w:val="en-US" w:eastAsia="es-CO"/>
              </w:rPr>
            </w:pPr>
            <w:r w:rsidRPr="0037118E">
              <w:rPr>
                <w:rFonts w:cs="Arial"/>
                <w:b/>
                <w:bCs/>
                <w:szCs w:val="18"/>
                <w:lang w:val="en-US" w:eastAsia="es-CO"/>
              </w:rPr>
              <w:t>Acids</w:t>
            </w:r>
          </w:p>
        </w:tc>
        <w:tc>
          <w:tcPr>
            <w:tcW w:w="798" w:type="dxa"/>
            <w:tcBorders>
              <w:top w:val="single" w:sz="4" w:space="0" w:color="9BBB59" w:themeColor="accent3"/>
            </w:tcBorders>
            <w:shd w:val="clear" w:color="auto" w:fill="auto"/>
            <w:noWrap/>
            <w:vAlign w:val="bottom"/>
            <w:hideMark/>
          </w:tcPr>
          <w:p w14:paraId="24144BAE" w14:textId="77777777" w:rsidR="00EB28B2" w:rsidRPr="0037118E" w:rsidRDefault="00AA44E1" w:rsidP="00EB28B2">
            <w:pPr>
              <w:tabs>
                <w:tab w:val="clear" w:pos="7100"/>
              </w:tabs>
              <w:spacing w:line="240" w:lineRule="auto"/>
              <w:jc w:val="left"/>
              <w:rPr>
                <w:rFonts w:cs="Arial"/>
                <w:b/>
                <w:bCs/>
                <w:szCs w:val="18"/>
                <w:lang w:val="en-US" w:eastAsia="es-CO"/>
              </w:rPr>
            </w:pPr>
            <w:r w:rsidRPr="0037118E">
              <w:rPr>
                <w:rFonts w:cs="Arial"/>
                <w:b/>
                <w:bCs/>
                <w:szCs w:val="18"/>
                <w:lang w:val="en-US" w:eastAsia="es-CO"/>
              </w:rPr>
              <w:t>mg</w:t>
            </w:r>
          </w:p>
        </w:tc>
      </w:tr>
      <w:tr w:rsidR="00FE63EB" w14:paraId="11A98D93" w14:textId="77777777" w:rsidTr="00EB28B2">
        <w:trPr>
          <w:trHeight w:val="112"/>
        </w:trPr>
        <w:tc>
          <w:tcPr>
            <w:tcW w:w="2598" w:type="dxa"/>
            <w:shd w:val="clear" w:color="auto" w:fill="auto"/>
            <w:noWrap/>
            <w:vAlign w:val="bottom"/>
            <w:hideMark/>
          </w:tcPr>
          <w:p w14:paraId="00E5E079" w14:textId="77777777"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Lauric</w:t>
            </w:r>
          </w:p>
        </w:tc>
        <w:tc>
          <w:tcPr>
            <w:tcW w:w="798" w:type="dxa"/>
            <w:shd w:val="clear" w:color="auto" w:fill="auto"/>
            <w:noWrap/>
            <w:vAlign w:val="bottom"/>
            <w:hideMark/>
          </w:tcPr>
          <w:p w14:paraId="0DE12733" w14:textId="7BBE89E3"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1</w:t>
            </w:r>
          </w:p>
        </w:tc>
      </w:tr>
      <w:tr w:rsidR="00FE63EB" w14:paraId="12E93D6E" w14:textId="77777777" w:rsidTr="00EB28B2">
        <w:trPr>
          <w:trHeight w:val="186"/>
        </w:trPr>
        <w:tc>
          <w:tcPr>
            <w:tcW w:w="2598" w:type="dxa"/>
            <w:shd w:val="clear" w:color="auto" w:fill="auto"/>
            <w:noWrap/>
            <w:vAlign w:val="bottom"/>
            <w:hideMark/>
          </w:tcPr>
          <w:p w14:paraId="30A8E84E" w14:textId="77777777"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Myristic</w:t>
            </w:r>
          </w:p>
        </w:tc>
        <w:tc>
          <w:tcPr>
            <w:tcW w:w="798" w:type="dxa"/>
            <w:shd w:val="clear" w:color="auto" w:fill="auto"/>
            <w:noWrap/>
            <w:vAlign w:val="bottom"/>
            <w:hideMark/>
          </w:tcPr>
          <w:p w14:paraId="5AE4B464" w14:textId="7CFC800B"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9</w:t>
            </w:r>
          </w:p>
        </w:tc>
      </w:tr>
      <w:tr w:rsidR="00FE63EB" w14:paraId="6638CC34" w14:textId="77777777" w:rsidTr="00EB28B2">
        <w:trPr>
          <w:trHeight w:val="132"/>
        </w:trPr>
        <w:tc>
          <w:tcPr>
            <w:tcW w:w="2598" w:type="dxa"/>
            <w:shd w:val="clear" w:color="auto" w:fill="auto"/>
            <w:noWrap/>
            <w:vAlign w:val="bottom"/>
            <w:hideMark/>
          </w:tcPr>
          <w:p w14:paraId="18E65FB5" w14:textId="77777777"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Pentadecanoic</w:t>
            </w:r>
          </w:p>
        </w:tc>
        <w:tc>
          <w:tcPr>
            <w:tcW w:w="798" w:type="dxa"/>
            <w:shd w:val="clear" w:color="auto" w:fill="auto"/>
            <w:noWrap/>
            <w:vAlign w:val="bottom"/>
            <w:hideMark/>
          </w:tcPr>
          <w:p w14:paraId="58F265D0" w14:textId="2A43D369"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1</w:t>
            </w:r>
          </w:p>
        </w:tc>
      </w:tr>
      <w:tr w:rsidR="00FE63EB" w14:paraId="0E6D6E9F" w14:textId="77777777" w:rsidTr="00EB28B2">
        <w:trPr>
          <w:trHeight w:val="80"/>
        </w:trPr>
        <w:tc>
          <w:tcPr>
            <w:tcW w:w="2598" w:type="dxa"/>
            <w:shd w:val="clear" w:color="auto" w:fill="auto"/>
            <w:noWrap/>
            <w:vAlign w:val="bottom"/>
            <w:hideMark/>
          </w:tcPr>
          <w:p w14:paraId="2BFED975" w14:textId="77777777"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 xml:space="preserve">Palmitic </w:t>
            </w:r>
          </w:p>
        </w:tc>
        <w:tc>
          <w:tcPr>
            <w:tcW w:w="798" w:type="dxa"/>
            <w:shd w:val="clear" w:color="auto" w:fill="auto"/>
            <w:noWrap/>
            <w:vAlign w:val="bottom"/>
            <w:hideMark/>
          </w:tcPr>
          <w:p w14:paraId="6AE92CED" w14:textId="77777777"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1</w:t>
            </w:r>
            <w:r w:rsidR="003F1DC6" w:rsidRPr="0037118E">
              <w:rPr>
                <w:rFonts w:cs="Arial"/>
                <w:szCs w:val="18"/>
                <w:lang w:val="en-US" w:eastAsia="es-CO"/>
              </w:rPr>
              <w:t>,</w:t>
            </w:r>
            <w:r w:rsidRPr="0037118E">
              <w:rPr>
                <w:rFonts w:cs="Arial"/>
                <w:szCs w:val="18"/>
                <w:lang w:val="en-US" w:eastAsia="es-CO"/>
              </w:rPr>
              <w:t>316</w:t>
            </w:r>
          </w:p>
        </w:tc>
      </w:tr>
      <w:tr w:rsidR="00FE63EB" w14:paraId="69F05F24" w14:textId="77777777" w:rsidTr="00EB28B2">
        <w:trPr>
          <w:trHeight w:val="137"/>
        </w:trPr>
        <w:tc>
          <w:tcPr>
            <w:tcW w:w="2598" w:type="dxa"/>
            <w:shd w:val="clear" w:color="auto" w:fill="auto"/>
            <w:noWrap/>
            <w:vAlign w:val="bottom"/>
            <w:hideMark/>
          </w:tcPr>
          <w:p w14:paraId="17397A3E" w14:textId="77777777"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Palmitoleic</w:t>
            </w:r>
          </w:p>
        </w:tc>
        <w:tc>
          <w:tcPr>
            <w:tcW w:w="798" w:type="dxa"/>
            <w:shd w:val="clear" w:color="auto" w:fill="auto"/>
            <w:noWrap/>
            <w:vAlign w:val="bottom"/>
            <w:hideMark/>
          </w:tcPr>
          <w:p w14:paraId="13136402" w14:textId="07524F5E"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438</w:t>
            </w:r>
          </w:p>
        </w:tc>
      </w:tr>
      <w:tr w:rsidR="00FE63EB" w14:paraId="62093E38" w14:textId="77777777" w:rsidTr="00EB28B2">
        <w:trPr>
          <w:trHeight w:val="80"/>
        </w:trPr>
        <w:tc>
          <w:tcPr>
            <w:tcW w:w="2598" w:type="dxa"/>
            <w:shd w:val="clear" w:color="auto" w:fill="auto"/>
            <w:noWrap/>
            <w:vAlign w:val="bottom"/>
            <w:hideMark/>
          </w:tcPr>
          <w:p w14:paraId="457ECDAE" w14:textId="77777777"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Heptadecanoic</w:t>
            </w:r>
          </w:p>
        </w:tc>
        <w:tc>
          <w:tcPr>
            <w:tcW w:w="798" w:type="dxa"/>
            <w:shd w:val="clear" w:color="auto" w:fill="auto"/>
            <w:noWrap/>
            <w:vAlign w:val="bottom"/>
            <w:hideMark/>
          </w:tcPr>
          <w:p w14:paraId="2CA571BE" w14:textId="5D9890CF"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2</w:t>
            </w:r>
          </w:p>
        </w:tc>
      </w:tr>
      <w:tr w:rsidR="00FE63EB" w14:paraId="298F17E0" w14:textId="77777777" w:rsidTr="00EB28B2">
        <w:trPr>
          <w:trHeight w:val="144"/>
        </w:trPr>
        <w:tc>
          <w:tcPr>
            <w:tcW w:w="2598" w:type="dxa"/>
            <w:shd w:val="clear" w:color="auto" w:fill="auto"/>
            <w:noWrap/>
            <w:vAlign w:val="bottom"/>
            <w:hideMark/>
          </w:tcPr>
          <w:p w14:paraId="17A4CD07" w14:textId="77777777"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Stearic</w:t>
            </w:r>
          </w:p>
        </w:tc>
        <w:tc>
          <w:tcPr>
            <w:tcW w:w="798" w:type="dxa"/>
            <w:shd w:val="clear" w:color="auto" w:fill="auto"/>
            <w:noWrap/>
            <w:vAlign w:val="bottom"/>
            <w:hideMark/>
          </w:tcPr>
          <w:p w14:paraId="285A417D" w14:textId="0F2E01E8"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55</w:t>
            </w:r>
          </w:p>
        </w:tc>
      </w:tr>
      <w:tr w:rsidR="00FE63EB" w14:paraId="670CEF8D" w14:textId="77777777" w:rsidTr="00EB28B2">
        <w:trPr>
          <w:trHeight w:val="89"/>
        </w:trPr>
        <w:tc>
          <w:tcPr>
            <w:tcW w:w="2598" w:type="dxa"/>
            <w:shd w:val="clear" w:color="auto" w:fill="auto"/>
            <w:noWrap/>
            <w:vAlign w:val="bottom"/>
            <w:hideMark/>
          </w:tcPr>
          <w:p w14:paraId="7193C071" w14:textId="77777777"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Ela</w:t>
            </w:r>
            <w:r w:rsidR="00B12380" w:rsidRPr="0037118E">
              <w:rPr>
                <w:rFonts w:cs="Arial"/>
                <w:szCs w:val="18"/>
                <w:lang w:val="en-US" w:eastAsia="es-CO"/>
              </w:rPr>
              <w:t>i</w:t>
            </w:r>
            <w:r w:rsidRPr="0037118E">
              <w:rPr>
                <w:rFonts w:cs="Arial"/>
                <w:szCs w:val="18"/>
                <w:lang w:val="en-US" w:eastAsia="es-CO"/>
              </w:rPr>
              <w:t xml:space="preserve">dic </w:t>
            </w:r>
          </w:p>
        </w:tc>
        <w:tc>
          <w:tcPr>
            <w:tcW w:w="798" w:type="dxa"/>
            <w:shd w:val="clear" w:color="auto" w:fill="auto"/>
            <w:noWrap/>
            <w:vAlign w:val="bottom"/>
            <w:hideMark/>
          </w:tcPr>
          <w:p w14:paraId="4C4AA79C" w14:textId="2A4F4CBC"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18</w:t>
            </w:r>
          </w:p>
        </w:tc>
      </w:tr>
      <w:tr w:rsidR="00FE63EB" w14:paraId="75A70A67" w14:textId="77777777" w:rsidTr="00EB28B2">
        <w:trPr>
          <w:trHeight w:val="164"/>
        </w:trPr>
        <w:tc>
          <w:tcPr>
            <w:tcW w:w="2598" w:type="dxa"/>
            <w:shd w:val="clear" w:color="auto" w:fill="auto"/>
            <w:noWrap/>
            <w:vAlign w:val="bottom"/>
            <w:hideMark/>
          </w:tcPr>
          <w:p w14:paraId="764ED2EE" w14:textId="77777777"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Oleic</w:t>
            </w:r>
          </w:p>
        </w:tc>
        <w:tc>
          <w:tcPr>
            <w:tcW w:w="798" w:type="dxa"/>
            <w:shd w:val="clear" w:color="auto" w:fill="auto"/>
            <w:noWrap/>
            <w:vAlign w:val="bottom"/>
            <w:hideMark/>
          </w:tcPr>
          <w:p w14:paraId="48FEE514" w14:textId="77777777"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1</w:t>
            </w:r>
            <w:r w:rsidR="003F1DC6" w:rsidRPr="0037118E">
              <w:rPr>
                <w:rFonts w:cs="Arial"/>
                <w:szCs w:val="18"/>
                <w:lang w:val="en-US" w:eastAsia="es-CO"/>
              </w:rPr>
              <w:t>,</w:t>
            </w:r>
            <w:r w:rsidRPr="0037118E">
              <w:rPr>
                <w:rFonts w:cs="Arial"/>
                <w:szCs w:val="18"/>
                <w:lang w:val="en-US" w:eastAsia="es-CO"/>
              </w:rPr>
              <w:t>648</w:t>
            </w:r>
          </w:p>
        </w:tc>
      </w:tr>
      <w:tr w:rsidR="00FE63EB" w14:paraId="47CD86AE" w14:textId="77777777" w:rsidTr="00EB28B2">
        <w:trPr>
          <w:trHeight w:val="238"/>
        </w:trPr>
        <w:tc>
          <w:tcPr>
            <w:tcW w:w="2598" w:type="dxa"/>
            <w:shd w:val="clear" w:color="auto" w:fill="auto"/>
            <w:noWrap/>
            <w:vAlign w:val="bottom"/>
            <w:hideMark/>
          </w:tcPr>
          <w:p w14:paraId="2446FEF7" w14:textId="77777777"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 xml:space="preserve">Linoleic </w:t>
            </w:r>
          </w:p>
        </w:tc>
        <w:tc>
          <w:tcPr>
            <w:tcW w:w="798" w:type="dxa"/>
            <w:shd w:val="clear" w:color="auto" w:fill="auto"/>
            <w:noWrap/>
            <w:vAlign w:val="bottom"/>
            <w:hideMark/>
          </w:tcPr>
          <w:p w14:paraId="52B012C9" w14:textId="3017B8E5"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920</w:t>
            </w:r>
          </w:p>
        </w:tc>
      </w:tr>
      <w:tr w:rsidR="00FE63EB" w14:paraId="1EF4A43E" w14:textId="77777777" w:rsidTr="00EB28B2">
        <w:trPr>
          <w:trHeight w:val="128"/>
        </w:trPr>
        <w:tc>
          <w:tcPr>
            <w:tcW w:w="2598" w:type="dxa"/>
            <w:shd w:val="clear" w:color="auto" w:fill="auto"/>
            <w:noWrap/>
            <w:vAlign w:val="bottom"/>
            <w:hideMark/>
          </w:tcPr>
          <w:p w14:paraId="32B49D00" w14:textId="77777777"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g-</w:t>
            </w:r>
            <w:r w:rsidR="00B12380" w:rsidRPr="0037118E">
              <w:rPr>
                <w:rFonts w:cs="Arial"/>
                <w:szCs w:val="18"/>
                <w:lang w:val="en-US" w:eastAsia="es-CO"/>
              </w:rPr>
              <w:t>linolenic</w:t>
            </w:r>
          </w:p>
        </w:tc>
        <w:tc>
          <w:tcPr>
            <w:tcW w:w="798" w:type="dxa"/>
            <w:shd w:val="clear" w:color="auto" w:fill="auto"/>
            <w:noWrap/>
            <w:vAlign w:val="bottom"/>
            <w:hideMark/>
          </w:tcPr>
          <w:p w14:paraId="55F7D008" w14:textId="02BE1E1F"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13</w:t>
            </w:r>
          </w:p>
        </w:tc>
      </w:tr>
      <w:tr w:rsidR="00FE63EB" w14:paraId="7AA5D79B" w14:textId="77777777" w:rsidTr="00EB28B2">
        <w:trPr>
          <w:trHeight w:val="80"/>
        </w:trPr>
        <w:tc>
          <w:tcPr>
            <w:tcW w:w="2598" w:type="dxa"/>
            <w:shd w:val="clear" w:color="auto" w:fill="auto"/>
            <w:noWrap/>
            <w:vAlign w:val="bottom"/>
            <w:hideMark/>
          </w:tcPr>
          <w:p w14:paraId="2A4D9021" w14:textId="77777777"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Linolenic</w:t>
            </w:r>
          </w:p>
        </w:tc>
        <w:tc>
          <w:tcPr>
            <w:tcW w:w="798" w:type="dxa"/>
            <w:shd w:val="clear" w:color="auto" w:fill="auto"/>
            <w:noWrap/>
            <w:vAlign w:val="bottom"/>
            <w:hideMark/>
          </w:tcPr>
          <w:p w14:paraId="7C9EFEE7" w14:textId="68B26D2D"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124</w:t>
            </w:r>
          </w:p>
        </w:tc>
      </w:tr>
      <w:tr w:rsidR="00FE63EB" w14:paraId="286A7637" w14:textId="77777777" w:rsidTr="00EB28B2">
        <w:trPr>
          <w:trHeight w:val="147"/>
        </w:trPr>
        <w:tc>
          <w:tcPr>
            <w:tcW w:w="2598" w:type="dxa"/>
            <w:shd w:val="clear" w:color="auto" w:fill="auto"/>
            <w:noWrap/>
            <w:vAlign w:val="bottom"/>
            <w:hideMark/>
          </w:tcPr>
          <w:p w14:paraId="474D4088" w14:textId="77777777"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Ara</w:t>
            </w:r>
            <w:r w:rsidR="00B12380" w:rsidRPr="0037118E">
              <w:rPr>
                <w:rFonts w:cs="Arial"/>
                <w:szCs w:val="18"/>
                <w:lang w:val="en-US" w:eastAsia="es-CO"/>
              </w:rPr>
              <w:t>ch</w:t>
            </w:r>
            <w:r w:rsidRPr="0037118E">
              <w:rPr>
                <w:rFonts w:cs="Arial"/>
                <w:szCs w:val="18"/>
                <w:lang w:val="en-US" w:eastAsia="es-CO"/>
              </w:rPr>
              <w:t>idic</w:t>
            </w:r>
          </w:p>
        </w:tc>
        <w:tc>
          <w:tcPr>
            <w:tcW w:w="798" w:type="dxa"/>
            <w:shd w:val="clear" w:color="auto" w:fill="auto"/>
            <w:noWrap/>
            <w:vAlign w:val="bottom"/>
            <w:hideMark/>
          </w:tcPr>
          <w:p w14:paraId="79B1788B" w14:textId="20CAB121"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7</w:t>
            </w:r>
          </w:p>
        </w:tc>
      </w:tr>
      <w:tr w:rsidR="00FE63EB" w14:paraId="401ED0A1" w14:textId="77777777" w:rsidTr="00EB28B2">
        <w:trPr>
          <w:trHeight w:val="222"/>
        </w:trPr>
        <w:tc>
          <w:tcPr>
            <w:tcW w:w="2598" w:type="dxa"/>
            <w:shd w:val="clear" w:color="auto" w:fill="auto"/>
            <w:noWrap/>
            <w:vAlign w:val="bottom"/>
            <w:hideMark/>
          </w:tcPr>
          <w:p w14:paraId="1745F06D" w14:textId="77777777"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Eicosenoic</w:t>
            </w:r>
          </w:p>
        </w:tc>
        <w:tc>
          <w:tcPr>
            <w:tcW w:w="798" w:type="dxa"/>
            <w:shd w:val="clear" w:color="auto" w:fill="auto"/>
            <w:noWrap/>
            <w:vAlign w:val="bottom"/>
            <w:hideMark/>
          </w:tcPr>
          <w:p w14:paraId="71255445" w14:textId="05B7444A"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5</w:t>
            </w:r>
          </w:p>
        </w:tc>
      </w:tr>
      <w:tr w:rsidR="00FE63EB" w14:paraId="41E6590C" w14:textId="77777777" w:rsidTr="00EB28B2">
        <w:trPr>
          <w:trHeight w:val="140"/>
        </w:trPr>
        <w:tc>
          <w:tcPr>
            <w:tcW w:w="2598" w:type="dxa"/>
            <w:shd w:val="clear" w:color="auto" w:fill="auto"/>
            <w:noWrap/>
            <w:vAlign w:val="bottom"/>
            <w:hideMark/>
          </w:tcPr>
          <w:p w14:paraId="79368A2D" w14:textId="77777777"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Behenic</w:t>
            </w:r>
          </w:p>
        </w:tc>
        <w:tc>
          <w:tcPr>
            <w:tcW w:w="798" w:type="dxa"/>
            <w:shd w:val="clear" w:color="auto" w:fill="auto"/>
            <w:noWrap/>
            <w:vAlign w:val="bottom"/>
            <w:hideMark/>
          </w:tcPr>
          <w:p w14:paraId="3C5FCA72" w14:textId="006905E2"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5</w:t>
            </w:r>
          </w:p>
        </w:tc>
      </w:tr>
      <w:tr w:rsidR="00FE63EB" w14:paraId="6ABB2EF5" w14:textId="77777777" w:rsidTr="00EB28B2">
        <w:trPr>
          <w:trHeight w:val="213"/>
        </w:trPr>
        <w:tc>
          <w:tcPr>
            <w:tcW w:w="2598" w:type="dxa"/>
            <w:shd w:val="clear" w:color="auto" w:fill="auto"/>
            <w:noWrap/>
            <w:vAlign w:val="bottom"/>
            <w:hideMark/>
          </w:tcPr>
          <w:p w14:paraId="3CF2EED6" w14:textId="77777777"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 xml:space="preserve">Lignoceric </w:t>
            </w:r>
          </w:p>
        </w:tc>
        <w:tc>
          <w:tcPr>
            <w:tcW w:w="798" w:type="dxa"/>
            <w:shd w:val="clear" w:color="auto" w:fill="auto"/>
            <w:noWrap/>
            <w:vAlign w:val="bottom"/>
            <w:hideMark/>
          </w:tcPr>
          <w:p w14:paraId="4EC15A8A" w14:textId="7A82FBE5"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10</w:t>
            </w:r>
          </w:p>
        </w:tc>
      </w:tr>
      <w:tr w:rsidR="00FE63EB" w14:paraId="4088D7A8" w14:textId="77777777" w:rsidTr="00EB28B2">
        <w:trPr>
          <w:trHeight w:val="146"/>
        </w:trPr>
        <w:tc>
          <w:tcPr>
            <w:tcW w:w="2598" w:type="dxa"/>
            <w:tcBorders>
              <w:bottom w:val="double" w:sz="4" w:space="0" w:color="9BBB59" w:themeColor="accent3"/>
            </w:tcBorders>
            <w:shd w:val="clear" w:color="auto" w:fill="auto"/>
            <w:noWrap/>
            <w:vAlign w:val="bottom"/>
            <w:hideMark/>
          </w:tcPr>
          <w:p w14:paraId="2A054A24" w14:textId="77777777"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TOTAL</w:t>
            </w:r>
          </w:p>
        </w:tc>
        <w:tc>
          <w:tcPr>
            <w:tcW w:w="798" w:type="dxa"/>
            <w:tcBorders>
              <w:bottom w:val="double" w:sz="4" w:space="0" w:color="9BBB59" w:themeColor="accent3"/>
            </w:tcBorders>
            <w:shd w:val="clear" w:color="auto" w:fill="auto"/>
            <w:noWrap/>
            <w:vAlign w:val="bottom"/>
            <w:hideMark/>
          </w:tcPr>
          <w:p w14:paraId="27FA1874" w14:textId="77777777" w:rsidR="00EB28B2" w:rsidRPr="0037118E" w:rsidRDefault="00AA44E1" w:rsidP="00EB28B2">
            <w:pPr>
              <w:tabs>
                <w:tab w:val="clear" w:pos="7100"/>
              </w:tabs>
              <w:spacing w:line="240" w:lineRule="auto"/>
              <w:jc w:val="left"/>
              <w:rPr>
                <w:rFonts w:cs="Arial"/>
                <w:szCs w:val="18"/>
                <w:lang w:val="en-US" w:eastAsia="es-CO"/>
              </w:rPr>
            </w:pPr>
            <w:r w:rsidRPr="0037118E">
              <w:rPr>
                <w:rFonts w:cs="Arial"/>
                <w:szCs w:val="18"/>
                <w:lang w:val="en-US" w:eastAsia="es-CO"/>
              </w:rPr>
              <w:t>4</w:t>
            </w:r>
            <w:r w:rsidR="003F1DC6" w:rsidRPr="0037118E">
              <w:rPr>
                <w:rFonts w:cs="Arial"/>
                <w:szCs w:val="18"/>
                <w:lang w:val="en-US" w:eastAsia="es-CO"/>
              </w:rPr>
              <w:t>,</w:t>
            </w:r>
            <w:r w:rsidRPr="0037118E">
              <w:rPr>
                <w:rFonts w:cs="Arial"/>
                <w:szCs w:val="18"/>
                <w:lang w:val="en-US" w:eastAsia="es-CO"/>
              </w:rPr>
              <w:t>572</w:t>
            </w:r>
          </w:p>
        </w:tc>
      </w:tr>
    </w:tbl>
    <w:p w14:paraId="1E28C4B2" w14:textId="77777777" w:rsidR="009B6E0D" w:rsidRDefault="009B6E0D" w:rsidP="009B6E0D">
      <w:pPr>
        <w:pStyle w:val="CETBodytext"/>
      </w:pPr>
    </w:p>
    <w:p w14:paraId="5DEE85D1" w14:textId="6A26BDB2" w:rsidR="009B6E0D" w:rsidRPr="001D71CA" w:rsidRDefault="00956B12" w:rsidP="009B6E0D">
      <w:pPr>
        <w:pStyle w:val="CETBodytext"/>
      </w:pPr>
      <w:r w:rsidRPr="001D71CA">
        <w:t xml:space="preserve">Process simulation is a tool that is based on models of physical and chemical processes, unit operations, among others. The phase equilibrium behavior and energy level </w:t>
      </w:r>
      <w:r w:rsidRPr="004566D5">
        <w:t xml:space="preserve">of the pure compound/mixture system are generally </w:t>
      </w:r>
      <w:r w:rsidRPr="004566D5">
        <w:lastRenderedPageBreak/>
        <w:t xml:space="preserve">expressed by thermodynamic models </w:t>
      </w:r>
      <w:r w:rsidRPr="004566D5">
        <w:fldChar w:fldCharType="begin" w:fldLock="1"/>
      </w:r>
      <w:r>
        <w:instrText>ADDIN CSL_CITATION {"citationItems":[{"id":"ITEM-1","itemData":{"DOI":"10.3303/CET1870161","ISBN":"9788895608679","ISSN":"22839216","author":[{"dropping-particle":"","family":"Rezakazemi","given":"Mashallah","non-dropping-particle":"","parse-names":false,"suffix":""},{"dropping-particle":"","family":"Rahmanian","given":"Nejat","non-dropping-particle":"","parse-names":false,"suffix":""},{"dropping-particle":"","family":"Jamil","given":"Hassan","non-dropping-particle":"","parse-names":false,"suffix":""},{"dropping-particle":"","family":"Shirazian","given":"Saeed","non-dropping-particle":"","parse-names":false,"suffix":""}],"container-title":"Chemical Engineering Transactions","id":"ITEM-1","issued":{"date-parts":[["2018"]]},"page":"961-966","title":"Process simulation and evaluation of ethane recovery process using aspen-HYSYS","type":"article-journal","volume":"70"},"uris":["http://www.mendeley.com/documents/?uuid=416cddda-9c2f-4d4a-bc90-8826a54132c1"]}],"mendeley":{"formattedCitation":"(Rezakazemi et al., 2018)","manualFormatting":"(Rezakazemi et al., 2018)","plainTextFormattedCitation":"(Rezakazemi et al., 2018)","previouslyFormattedCitation":"(Rezakazemi &lt;i&gt;et al.&lt;/i&gt;, 2018)"},"properties":{"noteIndex":0},"schema":"https://github.com/citation-style-language/schema/raw/master/csl-citation.json"}</w:instrText>
      </w:r>
      <w:r w:rsidRPr="004566D5">
        <w:fldChar w:fldCharType="separate"/>
      </w:r>
      <w:r w:rsidRPr="004566D5">
        <w:rPr>
          <w:noProof/>
        </w:rPr>
        <w:t>(Rezakazemi et al., 2018)</w:t>
      </w:r>
      <w:r w:rsidRPr="004566D5">
        <w:fldChar w:fldCharType="end"/>
      </w:r>
      <w:r w:rsidRPr="004566D5">
        <w:t xml:space="preserve">. Sequential </w:t>
      </w:r>
      <w:r w:rsidRPr="001D71CA">
        <w:t xml:space="preserve">Modular Flowsheet (SMFS) simulator environments such as Aspen Plus are widely used due to their ease of use and robustness in handling large-scale process simulation problems, as they allow working with a large number of operations. </w:t>
      </w:r>
      <w:r w:rsidR="0001172C">
        <w:t>U</w:t>
      </w:r>
      <w:r w:rsidRPr="001D71CA">
        <w:t>nits, process streams, and chemical substances</w:t>
      </w:r>
      <w:r w:rsidRPr="001D71CA">
        <w:rPr>
          <w:rFonts w:eastAsiaTheme="minorHAnsi"/>
        </w:rPr>
        <w:t xml:space="preserve"> </w:t>
      </w:r>
      <w:r>
        <w:rPr>
          <w:rFonts w:eastAsiaTheme="minorHAnsi"/>
        </w:rPr>
        <w:fldChar w:fldCharType="begin" w:fldLock="1"/>
      </w:r>
      <w:r>
        <w:rPr>
          <w:rFonts w:eastAsiaTheme="minorHAnsi"/>
        </w:rPr>
        <w:instrText>ADDIN CSL_CITATION {"citationItems":[{"id":"ITEM-1","itemData":{"DOI":"10.3303/CET2080049","ISBN":"9788895608785","ISSN":"22839216","author":[{"dropping-particle":"","family":"Nosrati-Ghods","given":"Nosaibeh","non-dropping-particle":"","parse-names":false,"suffix":""},{"dropping-particle":"","family":"Naidoo","given":"Muven","non-dropping-particle":"","parse-names":false,"suffix":""},{"dropping-particle":"","family":"Harrison","given":"Susan","non-dropping-particle":"","parse-names":false,"suffix":""},{"dropping-particle":"","family":"Isafiade","given":"Adeniyi","non-dropping-particle":"","parse-names":false,"suffix":""},{"dropping-particle":"","family":"Tai","given":"Siew Leng","non-dropping-particle":"","parse-names":false,"suffix":""}],"container-title":"Chemical Engineering Transactions","id":"ITEM-1","issue":"January","issued":{"date-parts":[["2020"]]},"page":"289-294","title":"Embedding aspen custom modeller for bioethanol fermentation into the aspen plus flowsheet simulator","type":"article-journal","volume":"80"},"uris":["http://www.mendeley.com/documents/?uuid=4b2817ce-3947-4594-97ca-d31be8be68b1"]}],"mendeley":{"formattedCitation":"(Nosrati-Ghods et al., 2020)","manualFormatting":"(Nosrati-Ghods et al., 2020)","plainTextFormattedCitation":"(Nosrati-Ghods et al., 2020)","previouslyFormattedCitation":"(Nosrati-Ghods &lt;i&gt;et al.&lt;/i&gt;, 2020)"},"properties":{"noteIndex":0},"schema":"https://github.com/citation-style-language/schema/raw/master/csl-citation.json"}</w:instrText>
      </w:r>
      <w:r>
        <w:rPr>
          <w:rFonts w:eastAsiaTheme="minorHAnsi"/>
        </w:rPr>
        <w:fldChar w:fldCharType="separate"/>
      </w:r>
      <w:r w:rsidRPr="004566D5">
        <w:rPr>
          <w:rFonts w:eastAsiaTheme="minorHAnsi"/>
          <w:noProof/>
        </w:rPr>
        <w:t>(Nosrati-Ghods et al.</w:t>
      </w:r>
      <w:r>
        <w:rPr>
          <w:rFonts w:eastAsiaTheme="minorHAnsi"/>
          <w:noProof/>
        </w:rPr>
        <w:t xml:space="preserve">, </w:t>
      </w:r>
      <w:r w:rsidRPr="004566D5">
        <w:rPr>
          <w:rFonts w:eastAsiaTheme="minorHAnsi"/>
          <w:noProof/>
        </w:rPr>
        <w:t>2020)</w:t>
      </w:r>
      <w:r>
        <w:rPr>
          <w:rFonts w:eastAsiaTheme="minorHAnsi"/>
        </w:rPr>
        <w:fldChar w:fldCharType="end"/>
      </w:r>
      <w:r>
        <w:rPr>
          <w:rFonts w:eastAsiaTheme="minorHAnsi"/>
        </w:rPr>
        <w:t>.</w:t>
      </w:r>
      <w:r>
        <w:rPr>
          <w:rFonts w:eastAsiaTheme="minorHAnsi"/>
        </w:rPr>
        <w:t xml:space="preserve"> </w:t>
      </w:r>
      <w:r w:rsidR="009B6E0D" w:rsidRPr="001D71CA">
        <w:t>The simulation of the avocado oil production process was carried out with Aspen Plus®, experimental values ​​were taken into account, such as the content of fatty acids in the pulp of this fruit, which was used for the extraction of the oil, the other values ​​are supported in works reported in the literature. The production capacity of the plant was established taking into account the avocado production in the Montes de María region.</w:t>
      </w:r>
    </w:p>
    <w:p w14:paraId="38C91147" w14:textId="2DE0A927" w:rsidR="001D71CA" w:rsidRPr="001D71CA" w:rsidRDefault="00AA44E1" w:rsidP="001D71CA">
      <w:pPr>
        <w:pStyle w:val="CETBodytext"/>
      </w:pPr>
      <w:r w:rsidRPr="001D71CA">
        <w:t xml:space="preserve">From the database of the software, the components or chemical substances that are involved in the process are selected. In addition, the appropriate thermodynamic model and equation of state were selected to estimate the properties of the substances </w:t>
      </w:r>
      <w:r w:rsidRPr="001D71CA">
        <w:fldChar w:fldCharType="begin" w:fldLock="1"/>
      </w:r>
      <w:r w:rsidR="00DF3716">
        <w:instrText>ADDIN CSL_CITATION {"citationItems":[{"id":"ITEM-1","itemData":{"DOI":"10.7717/peerj.8113","ISSN":"21678359","author":[{"dropping-particle":"","family":"Meramo","given":"Samir","non-dropping-particle":"","parse-names":false,"suffix":""},{"dropping-particle":"","family":"Moreno","given":"Kariana","non-dropping-particle":"","parse-names":false,"suffix":""},{"dropping-particle":"","family":"González","given":"Angel","non-dropping-particle":"","parse-names":false,"suffix":""}],"container-title":"PeerJ","id":"ITEM-1","issue":"11","issued":{"date-parts":[["2019"]]},"title":"Computer-aided simulation and exergy analysis of TiO2 nanoparticles production via green chemistry","type":"article-journal","volume":"2019"},"uris":["http://www.mendeley.com/documents/?uuid=1b90e8f9-a093-4e71-9dcf-c8272cda2983"]}],"mendeley":{"formattedCitation":"(Meramo et al., 2019)","manualFormatting":"(Meramo et al., 2019)","plainTextFormattedCitation":"(Meramo et al., 2019)","previouslyFormattedCitation":"(Meramo, Moreno and González, 2019)"},"properties":{"noteIndex":0},"schema":"https://github.com/citation-style-language/schema/raw/master/csl-citation.json"}</w:instrText>
      </w:r>
      <w:r w:rsidRPr="001D71CA">
        <w:fldChar w:fldCharType="separate"/>
      </w:r>
      <w:r w:rsidRPr="001D71CA">
        <w:rPr>
          <w:noProof/>
        </w:rPr>
        <w:t>(Meramo et al., 2019)</w:t>
      </w:r>
      <w:r w:rsidRPr="001D71CA">
        <w:fldChar w:fldCharType="end"/>
      </w:r>
      <w:r w:rsidRPr="001D71CA">
        <w:t>. Similarly, it is necessary to supply input conditions such as pressures, temperatures, mass flows, among others. To know the fatty acid profile of avocado from the Montes de María region, the fruit pulp was characterized by gas chromatography with a flame ionization detector (GC/FID), obtaining the results shown in table 1.</w:t>
      </w:r>
    </w:p>
    <w:p w14:paraId="14A8AADC" w14:textId="77777777" w:rsidR="00147575" w:rsidRPr="0037118E" w:rsidRDefault="00AA44E1" w:rsidP="0083680C">
      <w:pPr>
        <w:pStyle w:val="CETHeading1"/>
      </w:pPr>
      <w:r w:rsidRPr="0037118E">
        <w:t xml:space="preserve">Results and </w:t>
      </w:r>
      <w:r w:rsidR="00E36C08" w:rsidRPr="0083680C">
        <w:t>discussion</w:t>
      </w:r>
    </w:p>
    <w:p w14:paraId="25AF7A23" w14:textId="77777777" w:rsidR="00D0168E" w:rsidRPr="0037118E" w:rsidRDefault="00AA44E1" w:rsidP="00D0168E">
      <w:pPr>
        <w:pStyle w:val="CETheadingx"/>
        <w:rPr>
          <w:color w:val="auto"/>
        </w:rPr>
      </w:pPr>
      <w:r w:rsidRPr="0037118E">
        <w:rPr>
          <w:color w:val="auto"/>
        </w:rPr>
        <w:t xml:space="preserve">Simulation </w:t>
      </w:r>
    </w:p>
    <w:p w14:paraId="57ED5DBD" w14:textId="02021F87" w:rsidR="00E36C08" w:rsidRDefault="00AA44E1" w:rsidP="001D71CA">
      <w:pPr>
        <w:pStyle w:val="CETBodytext"/>
      </w:pPr>
      <w:bookmarkStart w:id="0" w:name="_Hlk93013283"/>
      <w:r w:rsidRPr="001D71CA">
        <w:t xml:space="preserve">From the processing of 10,605 tons per year of avocado, an avocado oil production of 1,000 t/y is obtained. Table 2 shows the main </w:t>
      </w:r>
      <w:r w:rsidR="00D119F3">
        <w:t>streams</w:t>
      </w:r>
      <w:r w:rsidR="005C05D9">
        <w:t xml:space="preserve"> </w:t>
      </w:r>
      <w:r w:rsidRPr="001D71CA">
        <w:t>of the process. Below are some of the considerations made in the simulation:</w:t>
      </w:r>
    </w:p>
    <w:p w14:paraId="3D1AF696" w14:textId="59591E00" w:rsidR="00134A7C" w:rsidRPr="0037118E" w:rsidRDefault="00AA44E1" w:rsidP="00E36C08">
      <w:pPr>
        <w:pStyle w:val="CETTabletitle"/>
      </w:pPr>
      <w:r w:rsidRPr="0037118E">
        <w:t>Table 2</w:t>
      </w:r>
      <w:r w:rsidR="00D849D9">
        <w:t>:</w:t>
      </w:r>
      <w:r w:rsidRPr="0037118E">
        <w:t xml:space="preserve"> Operating conditions and composition of the main </w:t>
      </w:r>
      <w:r w:rsidR="005643EA" w:rsidRPr="0037118E">
        <w:t>stream</w:t>
      </w:r>
      <w:r w:rsidRPr="0037118E">
        <w:t>s of the avocado oil extraction process</w:t>
      </w:r>
      <w:r w:rsidR="00EE1C8F" w:rsidRPr="0037118E">
        <w:t xml:space="preserve"> </w:t>
      </w:r>
    </w:p>
    <w:tbl>
      <w:tblPr>
        <w:tblStyle w:val="Tablanormal4"/>
        <w:tblW w:w="8627" w:type="dxa"/>
        <w:tblLook w:val="04A0" w:firstRow="1" w:lastRow="0" w:firstColumn="1" w:lastColumn="0" w:noHBand="0" w:noVBand="1"/>
      </w:tblPr>
      <w:tblGrid>
        <w:gridCol w:w="1560"/>
        <w:gridCol w:w="992"/>
        <w:gridCol w:w="992"/>
        <w:gridCol w:w="992"/>
        <w:gridCol w:w="992"/>
        <w:gridCol w:w="1068"/>
        <w:gridCol w:w="992"/>
        <w:gridCol w:w="1039"/>
      </w:tblGrid>
      <w:tr w:rsidR="00DE6952" w:rsidRPr="00DE6952" w14:paraId="522871EA" w14:textId="77777777" w:rsidTr="002F2222">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560" w:type="dxa"/>
            <w:tcBorders>
              <w:top w:val="double" w:sz="4" w:space="0" w:color="9BBB59" w:themeColor="accent3"/>
              <w:bottom w:val="double" w:sz="4" w:space="0" w:color="9BBB59" w:themeColor="accent3"/>
            </w:tcBorders>
            <w:noWrap/>
          </w:tcPr>
          <w:p w14:paraId="4E72BEEB" w14:textId="77777777" w:rsidR="004A026F" w:rsidRPr="00DE6952" w:rsidRDefault="00AA44E1" w:rsidP="005643EA">
            <w:pPr>
              <w:pStyle w:val="CETBodytext"/>
              <w:rPr>
                <w:rFonts w:cs="Arial"/>
                <w:color w:val="000000" w:themeColor="text1"/>
                <w:szCs w:val="18"/>
              </w:rPr>
            </w:pPr>
            <w:r w:rsidRPr="00DE6952">
              <w:rPr>
                <w:rFonts w:cs="Arial"/>
                <w:color w:val="000000" w:themeColor="text1"/>
                <w:szCs w:val="18"/>
              </w:rPr>
              <w:t>Streams</w:t>
            </w:r>
          </w:p>
        </w:tc>
        <w:tc>
          <w:tcPr>
            <w:tcW w:w="992" w:type="dxa"/>
            <w:tcBorders>
              <w:top w:val="double" w:sz="4" w:space="0" w:color="9BBB59" w:themeColor="accent3"/>
              <w:bottom w:val="double" w:sz="4" w:space="0" w:color="9BBB59" w:themeColor="accent3"/>
            </w:tcBorders>
            <w:noWrap/>
          </w:tcPr>
          <w:p w14:paraId="231322D3" w14:textId="77777777" w:rsidR="004A026F" w:rsidRPr="00DE6952" w:rsidRDefault="00AA44E1" w:rsidP="005643EA">
            <w:pPr>
              <w:pStyle w:val="CETBodytext"/>
              <w:cnfStyle w:val="100000000000" w:firstRow="1"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bCs w:val="0"/>
                <w:color w:val="000000" w:themeColor="text1"/>
                <w:szCs w:val="18"/>
              </w:rPr>
              <w:t>1</w:t>
            </w:r>
          </w:p>
        </w:tc>
        <w:tc>
          <w:tcPr>
            <w:tcW w:w="992" w:type="dxa"/>
            <w:tcBorders>
              <w:top w:val="double" w:sz="4" w:space="0" w:color="9BBB59" w:themeColor="accent3"/>
              <w:bottom w:val="double" w:sz="4" w:space="0" w:color="9BBB59" w:themeColor="accent3"/>
            </w:tcBorders>
            <w:noWrap/>
          </w:tcPr>
          <w:p w14:paraId="302BD03F" w14:textId="77777777" w:rsidR="004A026F" w:rsidRPr="00DE6952" w:rsidRDefault="00AA44E1" w:rsidP="005643EA">
            <w:pPr>
              <w:pStyle w:val="CETBodytext"/>
              <w:cnfStyle w:val="100000000000" w:firstRow="1"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bCs w:val="0"/>
                <w:color w:val="000000" w:themeColor="text1"/>
                <w:szCs w:val="18"/>
              </w:rPr>
              <w:t>1</w:t>
            </w:r>
            <w:r w:rsidR="00A23025" w:rsidRPr="00DE6952">
              <w:rPr>
                <w:rFonts w:cs="Arial"/>
                <w:bCs w:val="0"/>
                <w:color w:val="000000" w:themeColor="text1"/>
                <w:szCs w:val="18"/>
              </w:rPr>
              <w:t>1</w:t>
            </w:r>
          </w:p>
        </w:tc>
        <w:tc>
          <w:tcPr>
            <w:tcW w:w="992" w:type="dxa"/>
            <w:tcBorders>
              <w:top w:val="double" w:sz="4" w:space="0" w:color="9BBB59" w:themeColor="accent3"/>
              <w:bottom w:val="double" w:sz="4" w:space="0" w:color="9BBB59" w:themeColor="accent3"/>
            </w:tcBorders>
            <w:noWrap/>
          </w:tcPr>
          <w:p w14:paraId="1BE0C154" w14:textId="77777777" w:rsidR="004A026F" w:rsidRPr="00DE6952" w:rsidRDefault="00AA44E1" w:rsidP="005643EA">
            <w:pPr>
              <w:pStyle w:val="CETBodytext"/>
              <w:cnfStyle w:val="100000000000" w:firstRow="1"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21</w:t>
            </w:r>
          </w:p>
        </w:tc>
        <w:tc>
          <w:tcPr>
            <w:tcW w:w="992" w:type="dxa"/>
            <w:tcBorders>
              <w:top w:val="double" w:sz="4" w:space="0" w:color="9BBB59" w:themeColor="accent3"/>
              <w:bottom w:val="double" w:sz="4" w:space="0" w:color="9BBB59" w:themeColor="accent3"/>
            </w:tcBorders>
            <w:noWrap/>
          </w:tcPr>
          <w:p w14:paraId="18656F16" w14:textId="77777777" w:rsidR="004A026F" w:rsidRPr="00DE6952" w:rsidRDefault="00AA44E1" w:rsidP="005643EA">
            <w:pPr>
              <w:pStyle w:val="CETBodytext"/>
              <w:cnfStyle w:val="100000000000" w:firstRow="1"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bCs w:val="0"/>
                <w:color w:val="000000" w:themeColor="text1"/>
                <w:szCs w:val="18"/>
              </w:rPr>
              <w:t>23</w:t>
            </w:r>
          </w:p>
        </w:tc>
        <w:tc>
          <w:tcPr>
            <w:tcW w:w="1068" w:type="dxa"/>
            <w:tcBorders>
              <w:top w:val="double" w:sz="4" w:space="0" w:color="9BBB59" w:themeColor="accent3"/>
              <w:bottom w:val="double" w:sz="4" w:space="0" w:color="9BBB59" w:themeColor="accent3"/>
            </w:tcBorders>
            <w:noWrap/>
          </w:tcPr>
          <w:p w14:paraId="066361FB" w14:textId="77777777" w:rsidR="004A026F" w:rsidRPr="00DE6952" w:rsidRDefault="00AA44E1" w:rsidP="005643EA">
            <w:pPr>
              <w:pStyle w:val="CETBodytext"/>
              <w:cnfStyle w:val="100000000000" w:firstRow="1"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bCs w:val="0"/>
                <w:color w:val="000000" w:themeColor="text1"/>
                <w:szCs w:val="18"/>
              </w:rPr>
              <w:t>25</w:t>
            </w:r>
          </w:p>
        </w:tc>
        <w:tc>
          <w:tcPr>
            <w:tcW w:w="992" w:type="dxa"/>
            <w:tcBorders>
              <w:top w:val="double" w:sz="4" w:space="0" w:color="9BBB59" w:themeColor="accent3"/>
              <w:bottom w:val="double" w:sz="4" w:space="0" w:color="9BBB59" w:themeColor="accent3"/>
            </w:tcBorders>
            <w:noWrap/>
          </w:tcPr>
          <w:p w14:paraId="2DB29C7F" w14:textId="77777777" w:rsidR="004A026F" w:rsidRPr="00DE6952" w:rsidRDefault="00AA44E1" w:rsidP="005643EA">
            <w:pPr>
              <w:pStyle w:val="CETBodytext"/>
              <w:cnfStyle w:val="100000000000" w:firstRow="1"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bCs w:val="0"/>
                <w:color w:val="000000" w:themeColor="text1"/>
                <w:szCs w:val="18"/>
              </w:rPr>
              <w:t>27</w:t>
            </w:r>
          </w:p>
        </w:tc>
        <w:tc>
          <w:tcPr>
            <w:tcW w:w="1039" w:type="dxa"/>
            <w:tcBorders>
              <w:top w:val="double" w:sz="4" w:space="0" w:color="9BBB59" w:themeColor="accent3"/>
              <w:bottom w:val="double" w:sz="4" w:space="0" w:color="9BBB59" w:themeColor="accent3"/>
            </w:tcBorders>
            <w:noWrap/>
          </w:tcPr>
          <w:p w14:paraId="382A8476" w14:textId="77777777" w:rsidR="004A026F" w:rsidRPr="00DE6952" w:rsidRDefault="00AA44E1" w:rsidP="005643EA">
            <w:pPr>
              <w:pStyle w:val="CETBodytext"/>
              <w:cnfStyle w:val="100000000000" w:firstRow="1"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bCs w:val="0"/>
                <w:color w:val="000000" w:themeColor="text1"/>
                <w:szCs w:val="18"/>
              </w:rPr>
              <w:t>32</w:t>
            </w:r>
          </w:p>
        </w:tc>
      </w:tr>
      <w:tr w:rsidR="00DE6952" w:rsidRPr="00DE6952" w14:paraId="55E76CC0" w14:textId="77777777" w:rsidTr="002F2222">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560" w:type="dxa"/>
            <w:tcBorders>
              <w:top w:val="double" w:sz="4" w:space="0" w:color="9BBB59" w:themeColor="accent3"/>
            </w:tcBorders>
            <w:noWrap/>
          </w:tcPr>
          <w:p w14:paraId="74A7100C" w14:textId="77777777" w:rsidR="004A026F" w:rsidRPr="00DE6952" w:rsidRDefault="00AA44E1" w:rsidP="005643EA">
            <w:pPr>
              <w:pStyle w:val="CETBodytext"/>
              <w:rPr>
                <w:rFonts w:cs="Arial"/>
                <w:color w:val="000000" w:themeColor="text1"/>
                <w:szCs w:val="18"/>
                <w:lang w:val="es-CO" w:eastAsia="es-CO"/>
              </w:rPr>
            </w:pPr>
            <w:r w:rsidRPr="00DE6952">
              <w:rPr>
                <w:rFonts w:cs="Arial"/>
                <w:b w:val="0"/>
                <w:bCs w:val="0"/>
                <w:color w:val="000000" w:themeColor="text1"/>
                <w:szCs w:val="18"/>
                <w:lang w:val="es-CO" w:eastAsia="es-CO"/>
              </w:rPr>
              <w:t>T (</w:t>
            </w:r>
            <w:r w:rsidR="00367973" w:rsidRPr="00DE6952">
              <w:rPr>
                <w:rFonts w:cs="Arial"/>
                <w:b w:val="0"/>
                <w:bCs w:val="0"/>
                <w:color w:val="000000" w:themeColor="text1"/>
                <w:szCs w:val="18"/>
                <w:lang w:val="es-CO" w:eastAsia="es-CO"/>
              </w:rPr>
              <w:t>K</w:t>
            </w:r>
            <w:r w:rsidRPr="00DE6952">
              <w:rPr>
                <w:rFonts w:cs="Arial"/>
                <w:b w:val="0"/>
                <w:bCs w:val="0"/>
                <w:color w:val="000000" w:themeColor="text1"/>
                <w:szCs w:val="18"/>
                <w:lang w:val="es-CO" w:eastAsia="es-CO"/>
              </w:rPr>
              <w:t>)</w:t>
            </w:r>
          </w:p>
        </w:tc>
        <w:tc>
          <w:tcPr>
            <w:tcW w:w="992" w:type="dxa"/>
            <w:tcBorders>
              <w:top w:val="double" w:sz="4" w:space="0" w:color="9BBB59" w:themeColor="accent3"/>
            </w:tcBorders>
            <w:noWrap/>
          </w:tcPr>
          <w:p w14:paraId="481F87BB" w14:textId="77777777" w:rsidR="004A026F" w:rsidRPr="00DE6952" w:rsidRDefault="00AA44E1" w:rsidP="005643EA">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lang w:val="es-CO" w:eastAsia="es-CO"/>
              </w:rPr>
            </w:pPr>
            <w:r w:rsidRPr="00DE6952">
              <w:rPr>
                <w:rFonts w:cs="Arial"/>
                <w:color w:val="000000" w:themeColor="text1"/>
                <w:szCs w:val="18"/>
                <w:lang w:val="es-CO" w:eastAsia="es-CO"/>
              </w:rPr>
              <w:t>298.15</w:t>
            </w:r>
          </w:p>
        </w:tc>
        <w:tc>
          <w:tcPr>
            <w:tcW w:w="992" w:type="dxa"/>
            <w:tcBorders>
              <w:top w:val="double" w:sz="4" w:space="0" w:color="9BBB59" w:themeColor="accent3"/>
            </w:tcBorders>
            <w:noWrap/>
          </w:tcPr>
          <w:p w14:paraId="7CA6F602" w14:textId="77777777" w:rsidR="004A026F" w:rsidRPr="00DE6952" w:rsidRDefault="00AA44E1" w:rsidP="005643EA">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lang w:val="es-CO" w:eastAsia="es-CO"/>
              </w:rPr>
            </w:pPr>
            <w:r w:rsidRPr="00DE6952">
              <w:rPr>
                <w:rFonts w:cs="Arial"/>
                <w:color w:val="000000" w:themeColor="text1"/>
                <w:szCs w:val="18"/>
                <w:lang w:val="es-CO" w:eastAsia="es-CO"/>
              </w:rPr>
              <w:t>298.15</w:t>
            </w:r>
          </w:p>
        </w:tc>
        <w:tc>
          <w:tcPr>
            <w:tcW w:w="992" w:type="dxa"/>
            <w:tcBorders>
              <w:top w:val="double" w:sz="4" w:space="0" w:color="9BBB59" w:themeColor="accent3"/>
            </w:tcBorders>
            <w:noWrap/>
          </w:tcPr>
          <w:p w14:paraId="2C38AC34" w14:textId="77777777" w:rsidR="004A026F" w:rsidRPr="00DE6952" w:rsidRDefault="00AA44E1" w:rsidP="005643EA">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lang w:val="es-CO" w:eastAsia="es-CO"/>
              </w:rPr>
            </w:pPr>
            <w:r w:rsidRPr="00DE6952">
              <w:rPr>
                <w:rFonts w:cs="Arial"/>
                <w:color w:val="000000" w:themeColor="text1"/>
                <w:szCs w:val="18"/>
                <w:lang w:val="es-CO" w:eastAsia="es-CO"/>
              </w:rPr>
              <w:t>343.15</w:t>
            </w:r>
          </w:p>
        </w:tc>
        <w:tc>
          <w:tcPr>
            <w:tcW w:w="992" w:type="dxa"/>
            <w:tcBorders>
              <w:top w:val="double" w:sz="4" w:space="0" w:color="9BBB59" w:themeColor="accent3"/>
            </w:tcBorders>
            <w:noWrap/>
          </w:tcPr>
          <w:p w14:paraId="15331BF0" w14:textId="4C74D97A" w:rsidR="004A026F" w:rsidRPr="00DE6952" w:rsidRDefault="00AA44E1" w:rsidP="005643EA">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lang w:val="es-CO" w:eastAsia="es-CO"/>
              </w:rPr>
            </w:pPr>
            <w:r w:rsidRPr="00DE6952">
              <w:rPr>
                <w:rFonts w:cs="Arial"/>
                <w:color w:val="000000" w:themeColor="text1"/>
                <w:szCs w:val="18"/>
                <w:lang w:val="es-CO" w:eastAsia="es-CO"/>
              </w:rPr>
              <w:t>326.7</w:t>
            </w:r>
            <w:r w:rsidR="00B20E77" w:rsidRPr="00DE6952">
              <w:rPr>
                <w:rFonts w:cs="Arial"/>
                <w:color w:val="000000" w:themeColor="text1"/>
                <w:szCs w:val="18"/>
                <w:lang w:val="es-CO" w:eastAsia="es-CO"/>
              </w:rPr>
              <w:t>0</w:t>
            </w:r>
          </w:p>
        </w:tc>
        <w:tc>
          <w:tcPr>
            <w:tcW w:w="1068" w:type="dxa"/>
            <w:tcBorders>
              <w:top w:val="double" w:sz="4" w:space="0" w:color="9BBB59" w:themeColor="accent3"/>
            </w:tcBorders>
            <w:noWrap/>
          </w:tcPr>
          <w:p w14:paraId="64C37FE1" w14:textId="39C7EE78" w:rsidR="004A026F" w:rsidRPr="00DE6952" w:rsidRDefault="00AA44E1" w:rsidP="005643EA">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lang w:val="es-CO" w:eastAsia="es-CO"/>
              </w:rPr>
            </w:pPr>
            <w:r w:rsidRPr="00DE6952">
              <w:rPr>
                <w:rFonts w:cs="Arial"/>
                <w:color w:val="000000" w:themeColor="text1"/>
                <w:szCs w:val="18"/>
                <w:lang w:val="es-CO" w:eastAsia="es-CO"/>
              </w:rPr>
              <w:t>326.7</w:t>
            </w:r>
            <w:r w:rsidR="00B20E77" w:rsidRPr="00DE6952">
              <w:rPr>
                <w:rFonts w:cs="Arial"/>
                <w:color w:val="000000" w:themeColor="text1"/>
                <w:szCs w:val="18"/>
                <w:lang w:val="es-CO" w:eastAsia="es-CO"/>
              </w:rPr>
              <w:t>0</w:t>
            </w:r>
          </w:p>
        </w:tc>
        <w:tc>
          <w:tcPr>
            <w:tcW w:w="992" w:type="dxa"/>
            <w:tcBorders>
              <w:top w:val="double" w:sz="4" w:space="0" w:color="9BBB59" w:themeColor="accent3"/>
            </w:tcBorders>
            <w:noWrap/>
          </w:tcPr>
          <w:p w14:paraId="3B0DD5B2" w14:textId="5463BFE1" w:rsidR="004A026F" w:rsidRPr="00DE6952" w:rsidRDefault="00AA44E1" w:rsidP="005643EA">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lang w:val="es-CO" w:eastAsia="es-CO"/>
              </w:rPr>
            </w:pPr>
            <w:r w:rsidRPr="00DE6952">
              <w:rPr>
                <w:rFonts w:cs="Arial"/>
                <w:color w:val="000000" w:themeColor="text1"/>
                <w:szCs w:val="18"/>
                <w:lang w:val="es-CO" w:eastAsia="es-CO"/>
              </w:rPr>
              <w:t>298</w:t>
            </w:r>
            <w:r w:rsidR="00B20E77" w:rsidRPr="00DE6952">
              <w:rPr>
                <w:rFonts w:cs="Arial"/>
                <w:color w:val="000000" w:themeColor="text1"/>
                <w:szCs w:val="18"/>
                <w:lang w:val="es-CO" w:eastAsia="es-CO"/>
              </w:rPr>
              <w:t>.15</w:t>
            </w:r>
          </w:p>
        </w:tc>
        <w:tc>
          <w:tcPr>
            <w:tcW w:w="1039" w:type="dxa"/>
            <w:tcBorders>
              <w:top w:val="double" w:sz="4" w:space="0" w:color="9BBB59" w:themeColor="accent3"/>
            </w:tcBorders>
            <w:noWrap/>
          </w:tcPr>
          <w:p w14:paraId="1CCBEA47" w14:textId="5780ACA9" w:rsidR="004A026F" w:rsidRPr="00DE6952" w:rsidRDefault="00AA44E1" w:rsidP="005643EA">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lang w:val="es-CO" w:eastAsia="es-CO"/>
              </w:rPr>
            </w:pPr>
            <w:r w:rsidRPr="00DE6952">
              <w:rPr>
                <w:rFonts w:cs="Arial"/>
                <w:color w:val="000000" w:themeColor="text1"/>
                <w:szCs w:val="18"/>
                <w:lang w:val="es-CO" w:eastAsia="es-CO"/>
              </w:rPr>
              <w:t>298</w:t>
            </w:r>
            <w:r w:rsidR="00B20E77" w:rsidRPr="00DE6952">
              <w:rPr>
                <w:rFonts w:cs="Arial"/>
                <w:color w:val="000000" w:themeColor="text1"/>
                <w:szCs w:val="18"/>
                <w:lang w:val="es-CO" w:eastAsia="es-CO"/>
              </w:rPr>
              <w:t>.15</w:t>
            </w:r>
          </w:p>
        </w:tc>
      </w:tr>
      <w:tr w:rsidR="00DE6952" w:rsidRPr="00DE6952" w14:paraId="15A96659" w14:textId="77777777" w:rsidTr="002F2222">
        <w:trPr>
          <w:trHeight w:val="188"/>
        </w:trPr>
        <w:tc>
          <w:tcPr>
            <w:cnfStyle w:val="001000000000" w:firstRow="0" w:lastRow="0" w:firstColumn="1" w:lastColumn="0" w:oddVBand="0" w:evenVBand="0" w:oddHBand="0" w:evenHBand="0" w:firstRowFirstColumn="0" w:firstRowLastColumn="0" w:lastRowFirstColumn="0" w:lastRowLastColumn="0"/>
            <w:tcW w:w="1560" w:type="dxa"/>
            <w:noWrap/>
          </w:tcPr>
          <w:p w14:paraId="2A43DC1D" w14:textId="77777777" w:rsidR="004A026F" w:rsidRPr="00DE6952" w:rsidRDefault="00AA44E1" w:rsidP="005643EA">
            <w:pPr>
              <w:pStyle w:val="CETBodytext"/>
              <w:rPr>
                <w:rFonts w:cs="Arial"/>
                <w:color w:val="000000" w:themeColor="text1"/>
                <w:szCs w:val="18"/>
                <w:lang w:val="es-CO" w:eastAsia="es-CO"/>
              </w:rPr>
            </w:pPr>
            <w:r w:rsidRPr="00DE6952">
              <w:rPr>
                <w:rFonts w:cs="Arial"/>
                <w:b w:val="0"/>
                <w:bCs w:val="0"/>
                <w:color w:val="000000" w:themeColor="text1"/>
                <w:szCs w:val="18"/>
                <w:lang w:val="es-CO" w:eastAsia="es-CO"/>
              </w:rPr>
              <w:t>P (bar)</w:t>
            </w:r>
          </w:p>
        </w:tc>
        <w:tc>
          <w:tcPr>
            <w:tcW w:w="992" w:type="dxa"/>
            <w:noWrap/>
          </w:tcPr>
          <w:p w14:paraId="086020A0" w14:textId="77777777" w:rsidR="004A026F" w:rsidRPr="00DE6952" w:rsidRDefault="00AA44E1" w:rsidP="005643EA">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lang w:val="es-CO" w:eastAsia="es-CO"/>
              </w:rPr>
            </w:pPr>
            <w:r w:rsidRPr="00DE6952">
              <w:rPr>
                <w:rFonts w:cs="Arial"/>
                <w:color w:val="000000" w:themeColor="text1"/>
                <w:szCs w:val="18"/>
                <w:lang w:val="es-CO" w:eastAsia="es-CO"/>
              </w:rPr>
              <w:t>1</w:t>
            </w:r>
          </w:p>
        </w:tc>
        <w:tc>
          <w:tcPr>
            <w:tcW w:w="992" w:type="dxa"/>
            <w:noWrap/>
          </w:tcPr>
          <w:p w14:paraId="6AD056AA" w14:textId="77777777" w:rsidR="004A026F" w:rsidRPr="00DE6952" w:rsidRDefault="00AA44E1" w:rsidP="005643EA">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lang w:val="es-CO" w:eastAsia="es-CO"/>
              </w:rPr>
            </w:pPr>
            <w:r w:rsidRPr="00DE6952">
              <w:rPr>
                <w:rFonts w:cs="Arial"/>
                <w:color w:val="000000" w:themeColor="text1"/>
                <w:szCs w:val="18"/>
                <w:lang w:val="es-CO" w:eastAsia="es-CO"/>
              </w:rPr>
              <w:t>1</w:t>
            </w:r>
          </w:p>
        </w:tc>
        <w:tc>
          <w:tcPr>
            <w:tcW w:w="992" w:type="dxa"/>
            <w:noWrap/>
          </w:tcPr>
          <w:p w14:paraId="5599AEF8" w14:textId="77777777" w:rsidR="004A026F" w:rsidRPr="00DE6952" w:rsidRDefault="00AA44E1" w:rsidP="005643EA">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lang w:val="es-CO" w:eastAsia="es-CO"/>
              </w:rPr>
            </w:pPr>
            <w:r w:rsidRPr="00DE6952">
              <w:rPr>
                <w:rFonts w:cs="Arial"/>
                <w:color w:val="000000" w:themeColor="text1"/>
                <w:szCs w:val="18"/>
                <w:lang w:val="es-CO" w:eastAsia="es-CO"/>
              </w:rPr>
              <w:t>0.31</w:t>
            </w:r>
          </w:p>
        </w:tc>
        <w:tc>
          <w:tcPr>
            <w:tcW w:w="992" w:type="dxa"/>
            <w:noWrap/>
          </w:tcPr>
          <w:p w14:paraId="03DA39A3" w14:textId="77777777" w:rsidR="004A026F" w:rsidRPr="00DE6952" w:rsidRDefault="00AA44E1" w:rsidP="005643EA">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lang w:val="es-CO" w:eastAsia="es-CO"/>
              </w:rPr>
            </w:pPr>
            <w:r w:rsidRPr="00DE6952">
              <w:rPr>
                <w:rFonts w:cs="Arial"/>
                <w:color w:val="000000" w:themeColor="text1"/>
                <w:szCs w:val="18"/>
                <w:lang w:val="es-CO" w:eastAsia="es-CO"/>
              </w:rPr>
              <w:t>1</w:t>
            </w:r>
          </w:p>
        </w:tc>
        <w:tc>
          <w:tcPr>
            <w:tcW w:w="1068" w:type="dxa"/>
            <w:noWrap/>
          </w:tcPr>
          <w:p w14:paraId="65E1D803" w14:textId="77777777" w:rsidR="004A026F" w:rsidRPr="00DE6952" w:rsidRDefault="00AA44E1" w:rsidP="005643EA">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lang w:val="es-CO" w:eastAsia="es-CO"/>
              </w:rPr>
            </w:pPr>
            <w:r w:rsidRPr="00DE6952">
              <w:rPr>
                <w:rFonts w:cs="Arial"/>
                <w:color w:val="000000" w:themeColor="text1"/>
                <w:szCs w:val="18"/>
                <w:lang w:val="es-CO" w:eastAsia="es-CO"/>
              </w:rPr>
              <w:t>1</w:t>
            </w:r>
          </w:p>
        </w:tc>
        <w:tc>
          <w:tcPr>
            <w:tcW w:w="992" w:type="dxa"/>
            <w:noWrap/>
          </w:tcPr>
          <w:p w14:paraId="2428D4F7" w14:textId="77777777" w:rsidR="004A026F" w:rsidRPr="00DE6952" w:rsidRDefault="00AA44E1" w:rsidP="005643EA">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lang w:val="es-CO" w:eastAsia="es-CO"/>
              </w:rPr>
            </w:pPr>
            <w:r w:rsidRPr="00DE6952">
              <w:rPr>
                <w:rFonts w:cs="Arial"/>
                <w:color w:val="000000" w:themeColor="text1"/>
                <w:szCs w:val="18"/>
                <w:lang w:val="es-CO" w:eastAsia="es-CO"/>
              </w:rPr>
              <w:t>1</w:t>
            </w:r>
          </w:p>
        </w:tc>
        <w:tc>
          <w:tcPr>
            <w:tcW w:w="1039" w:type="dxa"/>
            <w:noWrap/>
          </w:tcPr>
          <w:p w14:paraId="4D7ED475" w14:textId="77777777" w:rsidR="004A026F" w:rsidRPr="00DE6952" w:rsidRDefault="00AA44E1" w:rsidP="005643EA">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lang w:val="es-CO" w:eastAsia="es-CO"/>
              </w:rPr>
            </w:pPr>
            <w:r w:rsidRPr="00DE6952">
              <w:rPr>
                <w:rFonts w:cs="Arial"/>
                <w:color w:val="000000" w:themeColor="text1"/>
                <w:szCs w:val="18"/>
                <w:lang w:val="es-CO" w:eastAsia="es-CO"/>
              </w:rPr>
              <w:t>1</w:t>
            </w:r>
          </w:p>
        </w:tc>
      </w:tr>
      <w:tr w:rsidR="00DE6952" w:rsidRPr="00DE6952" w14:paraId="16618DA6" w14:textId="77777777" w:rsidTr="002F2222">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560" w:type="dxa"/>
            <w:noWrap/>
          </w:tcPr>
          <w:p w14:paraId="1EC80FA5" w14:textId="77777777" w:rsidR="004A026F" w:rsidRPr="00DE6952" w:rsidRDefault="00AA44E1" w:rsidP="005643EA">
            <w:pPr>
              <w:pStyle w:val="CETBodytext"/>
              <w:rPr>
                <w:rFonts w:cs="Arial"/>
                <w:color w:val="000000" w:themeColor="text1"/>
                <w:szCs w:val="18"/>
                <w:lang w:val="es-CO" w:eastAsia="es-CO"/>
              </w:rPr>
            </w:pPr>
            <w:r w:rsidRPr="00DE6952">
              <w:rPr>
                <w:rFonts w:cs="Arial"/>
                <w:b w:val="0"/>
                <w:bCs w:val="0"/>
                <w:color w:val="000000" w:themeColor="text1"/>
                <w:szCs w:val="18"/>
                <w:lang w:val="es-CO" w:eastAsia="es-CO"/>
              </w:rPr>
              <w:t>m (t/y)</w:t>
            </w:r>
          </w:p>
        </w:tc>
        <w:tc>
          <w:tcPr>
            <w:tcW w:w="992" w:type="dxa"/>
            <w:noWrap/>
          </w:tcPr>
          <w:p w14:paraId="7C0CDFF7" w14:textId="77777777" w:rsidR="004A026F" w:rsidRPr="00DE6952" w:rsidRDefault="00AA44E1" w:rsidP="005643EA">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lang w:val="es-CO" w:eastAsia="es-CO"/>
              </w:rPr>
            </w:pPr>
            <w:r w:rsidRPr="00DE6952">
              <w:rPr>
                <w:rFonts w:cs="Arial"/>
                <w:color w:val="000000" w:themeColor="text1"/>
                <w:szCs w:val="18"/>
                <w:lang w:val="es-CO" w:eastAsia="es-CO"/>
              </w:rPr>
              <w:t>10</w:t>
            </w:r>
            <w:r w:rsidR="007F60C5" w:rsidRPr="00DE6952">
              <w:rPr>
                <w:rFonts w:cs="Arial"/>
                <w:color w:val="000000" w:themeColor="text1"/>
                <w:szCs w:val="18"/>
                <w:lang w:val="es-CO" w:eastAsia="es-CO"/>
              </w:rPr>
              <w:t>,</w:t>
            </w:r>
            <w:r w:rsidRPr="00DE6952">
              <w:rPr>
                <w:rFonts w:cs="Arial"/>
                <w:color w:val="000000" w:themeColor="text1"/>
                <w:szCs w:val="18"/>
                <w:lang w:val="es-CO" w:eastAsia="es-CO"/>
              </w:rPr>
              <w:t>605</w:t>
            </w:r>
          </w:p>
        </w:tc>
        <w:tc>
          <w:tcPr>
            <w:tcW w:w="992" w:type="dxa"/>
            <w:noWrap/>
          </w:tcPr>
          <w:p w14:paraId="14F8FB52" w14:textId="2024E40D" w:rsidR="004A026F" w:rsidRPr="00DE6952" w:rsidRDefault="00AA44E1" w:rsidP="005643EA">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lang w:val="es-CO" w:eastAsia="es-CO"/>
              </w:rPr>
            </w:pPr>
            <w:r w:rsidRPr="00DE6952">
              <w:rPr>
                <w:rFonts w:cs="Arial"/>
                <w:color w:val="000000" w:themeColor="text1"/>
                <w:szCs w:val="18"/>
                <w:lang w:val="es-CO" w:eastAsia="es-CO"/>
              </w:rPr>
              <w:t>1,953</w:t>
            </w:r>
          </w:p>
        </w:tc>
        <w:tc>
          <w:tcPr>
            <w:tcW w:w="992" w:type="dxa"/>
            <w:noWrap/>
          </w:tcPr>
          <w:p w14:paraId="2ECE448B" w14:textId="4C326006" w:rsidR="004A026F" w:rsidRPr="00DE6952" w:rsidRDefault="00AA44E1" w:rsidP="005643EA">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lang w:val="es-CO" w:eastAsia="es-CO"/>
              </w:rPr>
            </w:pPr>
            <w:r w:rsidRPr="00DE6952">
              <w:rPr>
                <w:rFonts w:cs="Arial"/>
                <w:color w:val="000000" w:themeColor="text1"/>
                <w:szCs w:val="18"/>
                <w:lang w:val="es-CO" w:eastAsia="es-CO"/>
              </w:rPr>
              <w:t>1</w:t>
            </w:r>
            <w:r w:rsidR="007F60C5" w:rsidRPr="00DE6952">
              <w:rPr>
                <w:rFonts w:cs="Arial"/>
                <w:color w:val="000000" w:themeColor="text1"/>
                <w:szCs w:val="18"/>
                <w:lang w:val="es-CO" w:eastAsia="es-CO"/>
              </w:rPr>
              <w:t>,</w:t>
            </w:r>
            <w:r w:rsidRPr="00DE6952">
              <w:rPr>
                <w:rFonts w:cs="Arial"/>
                <w:color w:val="000000" w:themeColor="text1"/>
                <w:szCs w:val="18"/>
                <w:lang w:val="es-CO" w:eastAsia="es-CO"/>
              </w:rPr>
              <w:t>534</w:t>
            </w:r>
          </w:p>
        </w:tc>
        <w:tc>
          <w:tcPr>
            <w:tcW w:w="992" w:type="dxa"/>
            <w:noWrap/>
          </w:tcPr>
          <w:p w14:paraId="3A285479" w14:textId="52528F37" w:rsidR="004A026F" w:rsidRPr="00DE6952" w:rsidRDefault="00AA44E1" w:rsidP="005643EA">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lang w:val="es-CO" w:eastAsia="es-CO"/>
              </w:rPr>
            </w:pPr>
            <w:r w:rsidRPr="00DE6952">
              <w:rPr>
                <w:rFonts w:cs="Arial"/>
                <w:color w:val="000000" w:themeColor="text1"/>
                <w:szCs w:val="18"/>
                <w:lang w:val="es-CO" w:eastAsia="es-CO"/>
              </w:rPr>
              <w:t>5</w:t>
            </w:r>
            <w:r w:rsidR="007F60C5" w:rsidRPr="00DE6952">
              <w:rPr>
                <w:rFonts w:cs="Arial"/>
                <w:color w:val="000000" w:themeColor="text1"/>
                <w:szCs w:val="18"/>
                <w:lang w:val="es-CO" w:eastAsia="es-CO"/>
              </w:rPr>
              <w:t>,</w:t>
            </w:r>
            <w:r w:rsidRPr="00DE6952">
              <w:rPr>
                <w:rFonts w:cs="Arial"/>
                <w:color w:val="000000" w:themeColor="text1"/>
                <w:szCs w:val="18"/>
                <w:lang w:val="es-CO" w:eastAsia="es-CO"/>
              </w:rPr>
              <w:t>383</w:t>
            </w:r>
          </w:p>
        </w:tc>
        <w:tc>
          <w:tcPr>
            <w:tcW w:w="1068" w:type="dxa"/>
            <w:noWrap/>
          </w:tcPr>
          <w:p w14:paraId="383D86D7" w14:textId="2918EBD4" w:rsidR="004A026F" w:rsidRPr="00DE6952" w:rsidRDefault="00AA44E1" w:rsidP="005643EA">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lang w:val="es-CO" w:eastAsia="es-CO"/>
              </w:rPr>
            </w:pPr>
            <w:r w:rsidRPr="00DE6952">
              <w:rPr>
                <w:rFonts w:cs="Arial"/>
                <w:color w:val="000000" w:themeColor="text1"/>
                <w:szCs w:val="18"/>
                <w:lang w:val="es-CO" w:eastAsia="es-CO"/>
              </w:rPr>
              <w:t>4</w:t>
            </w:r>
            <w:r w:rsidR="007F60C5" w:rsidRPr="00DE6952">
              <w:rPr>
                <w:rFonts w:cs="Arial"/>
                <w:color w:val="000000" w:themeColor="text1"/>
                <w:szCs w:val="18"/>
                <w:lang w:val="es-CO" w:eastAsia="es-CO"/>
              </w:rPr>
              <w:t>,</w:t>
            </w:r>
            <w:r w:rsidRPr="00DE6952">
              <w:rPr>
                <w:rFonts w:cs="Arial"/>
                <w:color w:val="000000" w:themeColor="text1"/>
                <w:szCs w:val="18"/>
                <w:lang w:val="es-CO" w:eastAsia="es-CO"/>
              </w:rPr>
              <w:t>649</w:t>
            </w:r>
          </w:p>
        </w:tc>
        <w:tc>
          <w:tcPr>
            <w:tcW w:w="992" w:type="dxa"/>
            <w:noWrap/>
          </w:tcPr>
          <w:p w14:paraId="2B6ABAA0" w14:textId="3AE00E13" w:rsidR="004A026F" w:rsidRPr="00DE6952" w:rsidRDefault="00AA44E1" w:rsidP="005643EA">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lang w:val="es-CO" w:eastAsia="es-CO"/>
              </w:rPr>
            </w:pPr>
            <w:r w:rsidRPr="00DE6952">
              <w:rPr>
                <w:rFonts w:cs="Arial"/>
                <w:color w:val="000000" w:themeColor="text1"/>
                <w:szCs w:val="18"/>
                <w:lang w:val="es-CO" w:eastAsia="es-CO"/>
              </w:rPr>
              <w:t>1</w:t>
            </w:r>
            <w:r w:rsidR="007F60C5" w:rsidRPr="00DE6952">
              <w:rPr>
                <w:rFonts w:cs="Arial"/>
                <w:color w:val="000000" w:themeColor="text1"/>
                <w:szCs w:val="18"/>
                <w:lang w:val="es-CO" w:eastAsia="es-CO"/>
              </w:rPr>
              <w:t>,</w:t>
            </w:r>
            <w:r w:rsidRPr="00DE6952">
              <w:rPr>
                <w:rFonts w:cs="Arial"/>
                <w:color w:val="000000" w:themeColor="text1"/>
                <w:szCs w:val="18"/>
                <w:lang w:val="es-CO" w:eastAsia="es-CO"/>
              </w:rPr>
              <w:t>000</w:t>
            </w:r>
          </w:p>
        </w:tc>
        <w:tc>
          <w:tcPr>
            <w:tcW w:w="1039" w:type="dxa"/>
            <w:noWrap/>
          </w:tcPr>
          <w:p w14:paraId="388661C5" w14:textId="3024F957" w:rsidR="004A026F" w:rsidRPr="00DE6952" w:rsidRDefault="00AA44E1" w:rsidP="005643EA">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lang w:val="es-CO" w:eastAsia="es-CO"/>
              </w:rPr>
            </w:pPr>
            <w:r w:rsidRPr="00DE6952">
              <w:rPr>
                <w:rFonts w:cs="Arial"/>
                <w:color w:val="000000" w:themeColor="text1"/>
                <w:szCs w:val="18"/>
                <w:lang w:val="es-CO" w:eastAsia="es-CO"/>
              </w:rPr>
              <w:t>309</w:t>
            </w:r>
          </w:p>
        </w:tc>
      </w:tr>
      <w:tr w:rsidR="007934AB" w:rsidRPr="00DE6952" w14:paraId="26F919CE" w14:textId="77777777" w:rsidTr="002F2222">
        <w:trPr>
          <w:trHeight w:val="188"/>
        </w:trPr>
        <w:tc>
          <w:tcPr>
            <w:cnfStyle w:val="001000000000" w:firstRow="0" w:lastRow="0" w:firstColumn="1" w:lastColumn="0" w:oddVBand="0" w:evenVBand="0" w:oddHBand="0" w:evenHBand="0" w:firstRowFirstColumn="0" w:firstRowLastColumn="0" w:lastRowFirstColumn="0" w:lastRowLastColumn="0"/>
            <w:tcW w:w="1560" w:type="dxa"/>
            <w:noWrap/>
          </w:tcPr>
          <w:p w14:paraId="3783CCEE" w14:textId="77777777" w:rsidR="007934AB" w:rsidRPr="00DE6952" w:rsidRDefault="007934AB" w:rsidP="007934AB">
            <w:pPr>
              <w:pStyle w:val="CETBodytext"/>
              <w:rPr>
                <w:rFonts w:cs="Arial"/>
                <w:color w:val="000000" w:themeColor="text1"/>
                <w:szCs w:val="18"/>
                <w:lang w:val="es-CO" w:eastAsia="es-CO"/>
              </w:rPr>
            </w:pPr>
            <w:r w:rsidRPr="00DE6952">
              <w:rPr>
                <w:rFonts w:cs="Arial"/>
                <w:b w:val="0"/>
                <w:bCs w:val="0"/>
                <w:color w:val="000000" w:themeColor="text1"/>
                <w:szCs w:val="18"/>
              </w:rPr>
              <w:t>Hexane</w:t>
            </w:r>
          </w:p>
        </w:tc>
        <w:tc>
          <w:tcPr>
            <w:tcW w:w="992" w:type="dxa"/>
            <w:noWrap/>
          </w:tcPr>
          <w:p w14:paraId="5659A612" w14:textId="4EDFF8D7" w:rsidR="007934AB" w:rsidRPr="008B4121" w:rsidRDefault="007934AB" w:rsidP="007934AB">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Pr>
                <w:rFonts w:cs="Arial"/>
                <w:color w:val="000000" w:themeColor="text1"/>
                <w:szCs w:val="18"/>
              </w:rPr>
              <w:t>0</w:t>
            </w:r>
            <w:r w:rsidR="005C5D99">
              <w:rPr>
                <w:rFonts w:cs="Arial"/>
                <w:color w:val="000000" w:themeColor="text1"/>
                <w:szCs w:val="18"/>
              </w:rPr>
              <w:t>.</w:t>
            </w:r>
            <w:r>
              <w:rPr>
                <w:rFonts w:cs="Arial"/>
                <w:color w:val="000000" w:themeColor="text1"/>
                <w:szCs w:val="18"/>
              </w:rPr>
              <w:t>00x10</w:t>
            </w:r>
            <w:r>
              <w:rPr>
                <w:rFonts w:cs="Arial"/>
                <w:color w:val="000000" w:themeColor="text1"/>
                <w:szCs w:val="18"/>
                <w:vertAlign w:val="superscript"/>
              </w:rPr>
              <w:t>0</w:t>
            </w:r>
          </w:p>
        </w:tc>
        <w:tc>
          <w:tcPr>
            <w:tcW w:w="992" w:type="dxa"/>
            <w:noWrap/>
          </w:tcPr>
          <w:p w14:paraId="4844D1B0" w14:textId="7134FF6B" w:rsidR="007934AB" w:rsidRPr="00DE6952" w:rsidRDefault="007934AB" w:rsidP="007934AB">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E65BB4">
              <w:rPr>
                <w:rFonts w:cs="Arial"/>
                <w:color w:val="000000" w:themeColor="text1"/>
                <w:szCs w:val="18"/>
              </w:rPr>
              <w:t>0</w:t>
            </w:r>
            <w:r w:rsidR="005C5D99">
              <w:rPr>
                <w:rFonts w:cs="Arial"/>
                <w:color w:val="000000" w:themeColor="text1"/>
                <w:szCs w:val="18"/>
              </w:rPr>
              <w:t>.</w:t>
            </w:r>
            <w:r w:rsidRPr="00E65BB4">
              <w:rPr>
                <w:rFonts w:cs="Arial"/>
                <w:color w:val="000000" w:themeColor="text1"/>
                <w:szCs w:val="18"/>
              </w:rPr>
              <w:t>00x10</w:t>
            </w:r>
            <w:r w:rsidRPr="00E65BB4">
              <w:rPr>
                <w:rFonts w:cs="Arial"/>
                <w:color w:val="000000" w:themeColor="text1"/>
                <w:szCs w:val="18"/>
                <w:vertAlign w:val="superscript"/>
              </w:rPr>
              <w:t>0</w:t>
            </w:r>
          </w:p>
        </w:tc>
        <w:tc>
          <w:tcPr>
            <w:tcW w:w="992" w:type="dxa"/>
            <w:noWrap/>
          </w:tcPr>
          <w:p w14:paraId="132D1BEA" w14:textId="4672F455" w:rsidR="007934AB" w:rsidRPr="00DE6952" w:rsidRDefault="007934AB" w:rsidP="007934AB">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E65BB4">
              <w:rPr>
                <w:rFonts w:cs="Arial"/>
                <w:color w:val="000000" w:themeColor="text1"/>
                <w:szCs w:val="18"/>
              </w:rPr>
              <w:t>0</w:t>
            </w:r>
            <w:r w:rsidR="005C5D99">
              <w:rPr>
                <w:rFonts w:cs="Arial"/>
                <w:color w:val="000000" w:themeColor="text1"/>
                <w:szCs w:val="18"/>
              </w:rPr>
              <w:t>.</w:t>
            </w:r>
            <w:r w:rsidRPr="00E65BB4">
              <w:rPr>
                <w:rFonts w:cs="Arial"/>
                <w:color w:val="000000" w:themeColor="text1"/>
                <w:szCs w:val="18"/>
              </w:rPr>
              <w:t>00x10</w:t>
            </w:r>
            <w:r w:rsidRPr="00E65BB4">
              <w:rPr>
                <w:rFonts w:cs="Arial"/>
                <w:color w:val="000000" w:themeColor="text1"/>
                <w:szCs w:val="18"/>
                <w:vertAlign w:val="superscript"/>
              </w:rPr>
              <w:t>0</w:t>
            </w:r>
          </w:p>
        </w:tc>
        <w:tc>
          <w:tcPr>
            <w:tcW w:w="992" w:type="dxa"/>
            <w:noWrap/>
          </w:tcPr>
          <w:p w14:paraId="4494A4B8" w14:textId="6A800C1D" w:rsidR="007934AB" w:rsidRPr="00DE6952" w:rsidRDefault="007934AB" w:rsidP="007934AB">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8</w:t>
            </w:r>
            <w:r w:rsidR="007F6509">
              <w:rPr>
                <w:rFonts w:cs="Arial"/>
                <w:color w:val="000000" w:themeColor="text1"/>
                <w:szCs w:val="18"/>
              </w:rPr>
              <w:t>.</w:t>
            </w:r>
            <w:r w:rsidRPr="00DE6952">
              <w:rPr>
                <w:rFonts w:cs="Arial"/>
                <w:color w:val="000000" w:themeColor="text1"/>
                <w:szCs w:val="18"/>
              </w:rPr>
              <w:t>35</w:t>
            </w:r>
            <w:r w:rsidR="007F6509">
              <w:rPr>
                <w:rFonts w:cs="Arial"/>
                <w:color w:val="000000" w:themeColor="text1"/>
                <w:szCs w:val="18"/>
              </w:rPr>
              <w:t>x10</w:t>
            </w:r>
            <w:r w:rsidRPr="00FE5B69">
              <w:rPr>
                <w:rFonts w:cs="Arial"/>
                <w:color w:val="000000" w:themeColor="text1"/>
                <w:szCs w:val="18"/>
                <w:vertAlign w:val="superscript"/>
              </w:rPr>
              <w:t>-1</w:t>
            </w:r>
          </w:p>
        </w:tc>
        <w:tc>
          <w:tcPr>
            <w:tcW w:w="1068" w:type="dxa"/>
            <w:noWrap/>
          </w:tcPr>
          <w:p w14:paraId="157FEFFA" w14:textId="288BCF98" w:rsidR="007934AB" w:rsidRPr="00DE6952" w:rsidRDefault="007934AB" w:rsidP="007934AB">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9</w:t>
            </w:r>
            <w:r w:rsidR="00FE5B69">
              <w:rPr>
                <w:rFonts w:cs="Arial"/>
                <w:color w:val="000000" w:themeColor="text1"/>
                <w:szCs w:val="18"/>
              </w:rPr>
              <w:t>.</w:t>
            </w:r>
            <w:r w:rsidRPr="00DE6952">
              <w:rPr>
                <w:rFonts w:cs="Arial"/>
                <w:color w:val="000000" w:themeColor="text1"/>
                <w:szCs w:val="18"/>
              </w:rPr>
              <w:t>21</w:t>
            </w:r>
            <w:r w:rsidR="00FE5B69">
              <w:rPr>
                <w:rFonts w:cs="Arial"/>
                <w:color w:val="000000" w:themeColor="text1"/>
                <w:szCs w:val="18"/>
              </w:rPr>
              <w:t>x10</w:t>
            </w:r>
            <w:r w:rsidRPr="00FE5B69">
              <w:rPr>
                <w:rFonts w:cs="Arial"/>
                <w:color w:val="000000" w:themeColor="text1"/>
                <w:szCs w:val="18"/>
                <w:vertAlign w:val="superscript"/>
              </w:rPr>
              <w:t>-1</w:t>
            </w:r>
          </w:p>
        </w:tc>
        <w:tc>
          <w:tcPr>
            <w:tcW w:w="992" w:type="dxa"/>
            <w:noWrap/>
          </w:tcPr>
          <w:p w14:paraId="68260815" w14:textId="7DB4D136" w:rsidR="007934AB" w:rsidRPr="00DE6952" w:rsidRDefault="007934AB" w:rsidP="007934AB">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2</w:t>
            </w:r>
            <w:r w:rsidR="001D767C">
              <w:rPr>
                <w:rFonts w:cs="Arial"/>
                <w:color w:val="000000" w:themeColor="text1"/>
                <w:szCs w:val="18"/>
              </w:rPr>
              <w:t>.</w:t>
            </w:r>
            <w:r w:rsidRPr="00DE6952">
              <w:rPr>
                <w:rFonts w:cs="Arial"/>
                <w:color w:val="000000" w:themeColor="text1"/>
                <w:szCs w:val="18"/>
              </w:rPr>
              <w:t>27</w:t>
            </w:r>
            <w:r w:rsidR="001D767C">
              <w:rPr>
                <w:rFonts w:cs="Arial"/>
                <w:color w:val="000000" w:themeColor="text1"/>
                <w:szCs w:val="18"/>
              </w:rPr>
              <w:t>x10</w:t>
            </w:r>
            <w:r w:rsidRPr="001D767C">
              <w:rPr>
                <w:rFonts w:cs="Arial"/>
                <w:color w:val="000000" w:themeColor="text1"/>
                <w:szCs w:val="18"/>
                <w:vertAlign w:val="superscript"/>
              </w:rPr>
              <w:t>-2</w:t>
            </w:r>
          </w:p>
        </w:tc>
        <w:tc>
          <w:tcPr>
            <w:tcW w:w="1039" w:type="dxa"/>
            <w:noWrap/>
          </w:tcPr>
          <w:p w14:paraId="16110BA9" w14:textId="7E0977CB" w:rsidR="007934AB" w:rsidRPr="002F2222" w:rsidRDefault="007934AB" w:rsidP="007934AB">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vertAlign w:val="superscript"/>
              </w:rPr>
            </w:pPr>
            <w:r w:rsidRPr="00DE6952">
              <w:rPr>
                <w:rFonts w:cs="Arial"/>
                <w:color w:val="000000" w:themeColor="text1"/>
                <w:szCs w:val="18"/>
              </w:rPr>
              <w:t>1</w:t>
            </w:r>
            <w:r w:rsidR="009451CD">
              <w:rPr>
                <w:rFonts w:cs="Arial"/>
                <w:color w:val="000000" w:themeColor="text1"/>
                <w:szCs w:val="18"/>
              </w:rPr>
              <w:t>.</w:t>
            </w:r>
            <w:r>
              <w:rPr>
                <w:rFonts w:cs="Arial"/>
                <w:color w:val="000000" w:themeColor="text1"/>
                <w:szCs w:val="18"/>
              </w:rPr>
              <w:t>00x10</w:t>
            </w:r>
            <w:r>
              <w:rPr>
                <w:rFonts w:cs="Arial"/>
                <w:color w:val="000000" w:themeColor="text1"/>
                <w:szCs w:val="18"/>
                <w:vertAlign w:val="superscript"/>
              </w:rPr>
              <w:t>0</w:t>
            </w:r>
          </w:p>
        </w:tc>
      </w:tr>
      <w:tr w:rsidR="007934AB" w:rsidRPr="00DE6952" w14:paraId="226FD0C4" w14:textId="77777777" w:rsidTr="002F2222">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560" w:type="dxa"/>
            <w:noWrap/>
          </w:tcPr>
          <w:p w14:paraId="3D5FAB49" w14:textId="77777777" w:rsidR="007934AB" w:rsidRPr="00DE6952" w:rsidRDefault="007934AB" w:rsidP="007934AB">
            <w:pPr>
              <w:pStyle w:val="CETBodytext"/>
              <w:rPr>
                <w:rFonts w:cs="Arial"/>
                <w:color w:val="000000" w:themeColor="text1"/>
                <w:szCs w:val="18"/>
              </w:rPr>
            </w:pPr>
            <w:r w:rsidRPr="00DE6952">
              <w:rPr>
                <w:rFonts w:cs="Arial"/>
                <w:b w:val="0"/>
                <w:bCs w:val="0"/>
                <w:color w:val="000000" w:themeColor="text1"/>
                <w:szCs w:val="18"/>
              </w:rPr>
              <w:t>Sodium hyp</w:t>
            </w:r>
          </w:p>
        </w:tc>
        <w:tc>
          <w:tcPr>
            <w:tcW w:w="992" w:type="dxa"/>
            <w:noWrap/>
          </w:tcPr>
          <w:p w14:paraId="1A3AD2E2" w14:textId="793C0F46" w:rsidR="007934AB" w:rsidRPr="002F2222" w:rsidRDefault="007934AB" w:rsidP="007934AB">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Pr>
                <w:rFonts w:cs="Arial"/>
                <w:color w:val="000000" w:themeColor="text1"/>
                <w:szCs w:val="18"/>
              </w:rPr>
              <w:t>0</w:t>
            </w:r>
            <w:r w:rsidR="005C5D99">
              <w:rPr>
                <w:rFonts w:cs="Arial"/>
                <w:color w:val="000000" w:themeColor="text1"/>
                <w:szCs w:val="18"/>
              </w:rPr>
              <w:t>.</w:t>
            </w:r>
            <w:r>
              <w:rPr>
                <w:rFonts w:cs="Arial"/>
                <w:color w:val="000000" w:themeColor="text1"/>
                <w:szCs w:val="18"/>
              </w:rPr>
              <w:t>00x10</w:t>
            </w:r>
            <w:r>
              <w:rPr>
                <w:rFonts w:cs="Arial"/>
                <w:color w:val="000000" w:themeColor="text1"/>
                <w:szCs w:val="18"/>
                <w:vertAlign w:val="superscript"/>
              </w:rPr>
              <w:t>0</w:t>
            </w:r>
          </w:p>
        </w:tc>
        <w:tc>
          <w:tcPr>
            <w:tcW w:w="992" w:type="dxa"/>
            <w:noWrap/>
          </w:tcPr>
          <w:p w14:paraId="5DB8E6E4" w14:textId="74B551C0" w:rsidR="007934AB" w:rsidRPr="00DE6952" w:rsidRDefault="007934AB" w:rsidP="007934AB">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E65BB4">
              <w:rPr>
                <w:rFonts w:cs="Arial"/>
                <w:color w:val="000000" w:themeColor="text1"/>
                <w:szCs w:val="18"/>
              </w:rPr>
              <w:t>0</w:t>
            </w:r>
            <w:r w:rsidR="005C5D99">
              <w:rPr>
                <w:rFonts w:cs="Arial"/>
                <w:color w:val="000000" w:themeColor="text1"/>
                <w:szCs w:val="18"/>
              </w:rPr>
              <w:t>.</w:t>
            </w:r>
            <w:r w:rsidRPr="00E65BB4">
              <w:rPr>
                <w:rFonts w:cs="Arial"/>
                <w:color w:val="000000" w:themeColor="text1"/>
                <w:szCs w:val="18"/>
              </w:rPr>
              <w:t>00x10</w:t>
            </w:r>
            <w:r w:rsidRPr="00E65BB4">
              <w:rPr>
                <w:rFonts w:cs="Arial"/>
                <w:color w:val="000000" w:themeColor="text1"/>
                <w:szCs w:val="18"/>
                <w:vertAlign w:val="superscript"/>
              </w:rPr>
              <w:t>0</w:t>
            </w:r>
          </w:p>
        </w:tc>
        <w:tc>
          <w:tcPr>
            <w:tcW w:w="992" w:type="dxa"/>
            <w:noWrap/>
          </w:tcPr>
          <w:p w14:paraId="197E9AE9" w14:textId="783D6C1C" w:rsidR="007934AB" w:rsidRPr="00DE6952" w:rsidRDefault="007934AB" w:rsidP="007934AB">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E65BB4">
              <w:rPr>
                <w:rFonts w:cs="Arial"/>
                <w:color w:val="000000" w:themeColor="text1"/>
                <w:szCs w:val="18"/>
              </w:rPr>
              <w:t>0</w:t>
            </w:r>
            <w:r w:rsidR="005C5D99">
              <w:rPr>
                <w:rFonts w:cs="Arial"/>
                <w:color w:val="000000" w:themeColor="text1"/>
                <w:szCs w:val="18"/>
              </w:rPr>
              <w:t>.</w:t>
            </w:r>
            <w:r w:rsidRPr="00E65BB4">
              <w:rPr>
                <w:rFonts w:cs="Arial"/>
                <w:color w:val="000000" w:themeColor="text1"/>
                <w:szCs w:val="18"/>
              </w:rPr>
              <w:t>00x10</w:t>
            </w:r>
            <w:r w:rsidRPr="00E65BB4">
              <w:rPr>
                <w:rFonts w:cs="Arial"/>
                <w:color w:val="000000" w:themeColor="text1"/>
                <w:szCs w:val="18"/>
                <w:vertAlign w:val="superscript"/>
              </w:rPr>
              <w:t>0</w:t>
            </w:r>
          </w:p>
        </w:tc>
        <w:tc>
          <w:tcPr>
            <w:tcW w:w="992" w:type="dxa"/>
            <w:noWrap/>
          </w:tcPr>
          <w:p w14:paraId="2909AD92" w14:textId="5CD3908D" w:rsidR="007934AB" w:rsidRPr="00DE6952" w:rsidRDefault="007934AB" w:rsidP="007934AB">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F8612C">
              <w:rPr>
                <w:rFonts w:cs="Arial"/>
                <w:color w:val="000000" w:themeColor="text1"/>
                <w:szCs w:val="18"/>
              </w:rPr>
              <w:t>0</w:t>
            </w:r>
            <w:r w:rsidR="007F6509">
              <w:rPr>
                <w:rFonts w:cs="Arial"/>
                <w:color w:val="000000" w:themeColor="text1"/>
                <w:szCs w:val="18"/>
              </w:rPr>
              <w:t>.</w:t>
            </w:r>
            <w:r w:rsidRPr="00F8612C">
              <w:rPr>
                <w:rFonts w:cs="Arial"/>
                <w:color w:val="000000" w:themeColor="text1"/>
                <w:szCs w:val="18"/>
              </w:rPr>
              <w:t>00x10</w:t>
            </w:r>
            <w:r w:rsidRPr="00F8612C">
              <w:rPr>
                <w:rFonts w:cs="Arial"/>
                <w:color w:val="000000" w:themeColor="text1"/>
                <w:szCs w:val="18"/>
                <w:vertAlign w:val="superscript"/>
              </w:rPr>
              <w:t>0</w:t>
            </w:r>
          </w:p>
        </w:tc>
        <w:tc>
          <w:tcPr>
            <w:tcW w:w="1068" w:type="dxa"/>
            <w:noWrap/>
          </w:tcPr>
          <w:p w14:paraId="7354741B" w14:textId="266FBC54" w:rsidR="007934AB" w:rsidRPr="00DE6952" w:rsidRDefault="007934AB" w:rsidP="007934AB">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F8612C">
              <w:rPr>
                <w:rFonts w:cs="Arial"/>
                <w:color w:val="000000" w:themeColor="text1"/>
                <w:szCs w:val="18"/>
              </w:rPr>
              <w:t>0</w:t>
            </w:r>
            <w:r w:rsidR="00FE5B69">
              <w:rPr>
                <w:rFonts w:cs="Arial"/>
                <w:color w:val="000000" w:themeColor="text1"/>
                <w:szCs w:val="18"/>
              </w:rPr>
              <w:t>.</w:t>
            </w:r>
            <w:r w:rsidRPr="00F8612C">
              <w:rPr>
                <w:rFonts w:cs="Arial"/>
                <w:color w:val="000000" w:themeColor="text1"/>
                <w:szCs w:val="18"/>
              </w:rPr>
              <w:t>00x10</w:t>
            </w:r>
            <w:r w:rsidRPr="00F8612C">
              <w:rPr>
                <w:rFonts w:cs="Arial"/>
                <w:color w:val="000000" w:themeColor="text1"/>
                <w:szCs w:val="18"/>
                <w:vertAlign w:val="superscript"/>
              </w:rPr>
              <w:t>0</w:t>
            </w:r>
          </w:p>
        </w:tc>
        <w:tc>
          <w:tcPr>
            <w:tcW w:w="992" w:type="dxa"/>
            <w:noWrap/>
          </w:tcPr>
          <w:p w14:paraId="09F7273F" w14:textId="709BA38D" w:rsidR="007934AB" w:rsidRPr="00DE6952" w:rsidRDefault="007934AB" w:rsidP="007934AB">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F8612C">
              <w:rPr>
                <w:rFonts w:cs="Arial"/>
                <w:color w:val="000000" w:themeColor="text1"/>
                <w:szCs w:val="18"/>
              </w:rPr>
              <w:t>0</w:t>
            </w:r>
            <w:r w:rsidR="001D767C">
              <w:rPr>
                <w:rFonts w:cs="Arial"/>
                <w:color w:val="000000" w:themeColor="text1"/>
                <w:szCs w:val="18"/>
              </w:rPr>
              <w:t>.</w:t>
            </w:r>
            <w:r w:rsidRPr="00F8612C">
              <w:rPr>
                <w:rFonts w:cs="Arial"/>
                <w:color w:val="000000" w:themeColor="text1"/>
                <w:szCs w:val="18"/>
              </w:rPr>
              <w:t>00x10</w:t>
            </w:r>
            <w:r w:rsidRPr="00F8612C">
              <w:rPr>
                <w:rFonts w:cs="Arial"/>
                <w:color w:val="000000" w:themeColor="text1"/>
                <w:szCs w:val="18"/>
                <w:vertAlign w:val="superscript"/>
              </w:rPr>
              <w:t>0</w:t>
            </w:r>
          </w:p>
        </w:tc>
        <w:tc>
          <w:tcPr>
            <w:tcW w:w="1039" w:type="dxa"/>
            <w:noWrap/>
          </w:tcPr>
          <w:p w14:paraId="69A9640A" w14:textId="274DA829" w:rsidR="007934AB" w:rsidRPr="00DE6952" w:rsidRDefault="007934AB" w:rsidP="007934AB">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566C0">
              <w:rPr>
                <w:rFonts w:cs="Arial"/>
                <w:color w:val="000000" w:themeColor="text1"/>
                <w:szCs w:val="18"/>
              </w:rPr>
              <w:t>0</w:t>
            </w:r>
            <w:r w:rsidR="009451CD">
              <w:rPr>
                <w:rFonts w:cs="Arial"/>
                <w:color w:val="000000" w:themeColor="text1"/>
                <w:szCs w:val="18"/>
              </w:rPr>
              <w:t>.</w:t>
            </w:r>
            <w:r w:rsidRPr="00B566C0">
              <w:rPr>
                <w:rFonts w:cs="Arial"/>
                <w:color w:val="000000" w:themeColor="text1"/>
                <w:szCs w:val="18"/>
              </w:rPr>
              <w:t>00x10</w:t>
            </w:r>
            <w:r w:rsidRPr="00B566C0">
              <w:rPr>
                <w:rFonts w:cs="Arial"/>
                <w:color w:val="000000" w:themeColor="text1"/>
                <w:szCs w:val="18"/>
                <w:vertAlign w:val="superscript"/>
              </w:rPr>
              <w:t>0</w:t>
            </w:r>
          </w:p>
        </w:tc>
      </w:tr>
      <w:tr w:rsidR="009451CD" w:rsidRPr="00DE6952" w14:paraId="3F9F9B86" w14:textId="77777777" w:rsidTr="002F2222">
        <w:trPr>
          <w:trHeight w:val="188"/>
        </w:trPr>
        <w:tc>
          <w:tcPr>
            <w:cnfStyle w:val="001000000000" w:firstRow="0" w:lastRow="0" w:firstColumn="1" w:lastColumn="0" w:oddVBand="0" w:evenVBand="0" w:oddHBand="0" w:evenHBand="0" w:firstRowFirstColumn="0" w:firstRowLastColumn="0" w:lastRowFirstColumn="0" w:lastRowLastColumn="0"/>
            <w:tcW w:w="1560" w:type="dxa"/>
            <w:noWrap/>
          </w:tcPr>
          <w:p w14:paraId="36A8AFB8" w14:textId="77777777" w:rsidR="009451CD" w:rsidRPr="00DE6952" w:rsidRDefault="009451CD" w:rsidP="009451CD">
            <w:pPr>
              <w:pStyle w:val="CETBodytext"/>
              <w:rPr>
                <w:rFonts w:cs="Arial"/>
                <w:color w:val="000000" w:themeColor="text1"/>
                <w:szCs w:val="18"/>
              </w:rPr>
            </w:pPr>
            <w:r w:rsidRPr="00DE6952">
              <w:rPr>
                <w:rFonts w:cs="Arial"/>
                <w:b w:val="0"/>
                <w:bCs w:val="0"/>
                <w:color w:val="000000" w:themeColor="text1"/>
                <w:szCs w:val="18"/>
              </w:rPr>
              <w:t>Water</w:t>
            </w:r>
          </w:p>
        </w:tc>
        <w:tc>
          <w:tcPr>
            <w:tcW w:w="992" w:type="dxa"/>
            <w:noWrap/>
          </w:tcPr>
          <w:p w14:paraId="0069E862" w14:textId="28790880"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9</w:t>
            </w:r>
            <w:r>
              <w:rPr>
                <w:rFonts w:cs="Arial"/>
                <w:color w:val="000000" w:themeColor="text1"/>
                <w:szCs w:val="18"/>
              </w:rPr>
              <w:t>.</w:t>
            </w:r>
            <w:r w:rsidRPr="00DE6952">
              <w:rPr>
                <w:rFonts w:cs="Arial"/>
                <w:color w:val="000000" w:themeColor="text1"/>
                <w:szCs w:val="18"/>
              </w:rPr>
              <w:t>50</w:t>
            </w:r>
            <w:r>
              <w:rPr>
                <w:rFonts w:cs="Arial"/>
                <w:color w:val="000000" w:themeColor="text1"/>
                <w:szCs w:val="18"/>
              </w:rPr>
              <w:t>x10</w:t>
            </w:r>
            <w:r w:rsidRPr="009C1EBE">
              <w:rPr>
                <w:rFonts w:cs="Arial"/>
                <w:color w:val="000000" w:themeColor="text1"/>
                <w:szCs w:val="18"/>
                <w:vertAlign w:val="superscript"/>
              </w:rPr>
              <w:t>-1</w:t>
            </w:r>
          </w:p>
        </w:tc>
        <w:tc>
          <w:tcPr>
            <w:tcW w:w="992" w:type="dxa"/>
            <w:tcBorders>
              <w:top w:val="nil"/>
              <w:left w:val="nil"/>
              <w:bottom w:val="nil"/>
              <w:right w:val="nil"/>
            </w:tcBorders>
            <w:shd w:val="clear" w:color="auto" w:fill="auto"/>
            <w:noWrap/>
          </w:tcPr>
          <w:p w14:paraId="7A04B677" w14:textId="29AA3AE1"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8</w:t>
            </w:r>
            <w:r>
              <w:rPr>
                <w:rFonts w:cs="Arial"/>
                <w:color w:val="000000" w:themeColor="text1"/>
                <w:szCs w:val="18"/>
              </w:rPr>
              <w:t>.</w:t>
            </w:r>
            <w:r w:rsidRPr="00DE6952">
              <w:rPr>
                <w:rFonts w:cs="Arial"/>
                <w:color w:val="000000" w:themeColor="text1"/>
                <w:szCs w:val="18"/>
              </w:rPr>
              <w:t>98</w:t>
            </w:r>
            <w:r>
              <w:rPr>
                <w:rFonts w:cs="Arial"/>
                <w:color w:val="000000" w:themeColor="text1"/>
                <w:szCs w:val="18"/>
              </w:rPr>
              <w:t>x10</w:t>
            </w:r>
            <w:r w:rsidRPr="005C5D99">
              <w:rPr>
                <w:rFonts w:cs="Arial"/>
                <w:color w:val="000000" w:themeColor="text1"/>
                <w:szCs w:val="18"/>
                <w:vertAlign w:val="superscript"/>
              </w:rPr>
              <w:t>-1</w:t>
            </w:r>
          </w:p>
        </w:tc>
        <w:tc>
          <w:tcPr>
            <w:tcW w:w="992" w:type="dxa"/>
            <w:noWrap/>
          </w:tcPr>
          <w:p w14:paraId="21D8DC49" w14:textId="246408DD"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2</w:t>
            </w:r>
            <w:r>
              <w:rPr>
                <w:rFonts w:cs="Arial"/>
                <w:color w:val="000000" w:themeColor="text1"/>
                <w:szCs w:val="18"/>
              </w:rPr>
              <w:t>.</w:t>
            </w:r>
            <w:r w:rsidRPr="00DE6952">
              <w:rPr>
                <w:rFonts w:cs="Arial"/>
                <w:color w:val="000000" w:themeColor="text1"/>
                <w:szCs w:val="18"/>
              </w:rPr>
              <w:t>10</w:t>
            </w:r>
            <w:r>
              <w:rPr>
                <w:rFonts w:cs="Arial"/>
                <w:color w:val="000000" w:themeColor="text1"/>
                <w:szCs w:val="18"/>
              </w:rPr>
              <w:t>x10</w:t>
            </w:r>
            <w:r w:rsidRPr="007F6509">
              <w:rPr>
                <w:rFonts w:cs="Arial"/>
                <w:color w:val="000000" w:themeColor="text1"/>
                <w:szCs w:val="18"/>
                <w:vertAlign w:val="superscript"/>
              </w:rPr>
              <w:t>-1</w:t>
            </w:r>
          </w:p>
        </w:tc>
        <w:tc>
          <w:tcPr>
            <w:tcW w:w="992" w:type="dxa"/>
            <w:noWrap/>
          </w:tcPr>
          <w:p w14:paraId="17879159" w14:textId="4D5DA561"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3</w:t>
            </w:r>
            <w:r>
              <w:rPr>
                <w:rFonts w:cs="Arial"/>
                <w:color w:val="000000" w:themeColor="text1"/>
                <w:szCs w:val="18"/>
              </w:rPr>
              <w:t>.</w:t>
            </w:r>
            <w:r w:rsidRPr="00DE6952">
              <w:rPr>
                <w:rFonts w:cs="Arial"/>
                <w:color w:val="000000" w:themeColor="text1"/>
                <w:szCs w:val="18"/>
              </w:rPr>
              <w:t>46</w:t>
            </w:r>
            <w:r>
              <w:rPr>
                <w:rFonts w:cs="Arial"/>
                <w:color w:val="000000" w:themeColor="text1"/>
                <w:szCs w:val="18"/>
              </w:rPr>
              <w:t>x10</w:t>
            </w:r>
            <w:r w:rsidRPr="00FE5B69">
              <w:rPr>
                <w:rFonts w:cs="Arial"/>
                <w:color w:val="000000" w:themeColor="text1"/>
                <w:szCs w:val="18"/>
                <w:vertAlign w:val="superscript"/>
              </w:rPr>
              <w:t>-2</w:t>
            </w:r>
          </w:p>
        </w:tc>
        <w:tc>
          <w:tcPr>
            <w:tcW w:w="1068" w:type="dxa"/>
            <w:noWrap/>
          </w:tcPr>
          <w:p w14:paraId="46DFB8FB" w14:textId="16A7CBE5"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lang w:val="es-CO"/>
              </w:rPr>
            </w:pPr>
            <w:r w:rsidRPr="00DE6952">
              <w:rPr>
                <w:rFonts w:cs="Arial"/>
                <w:color w:val="000000" w:themeColor="text1"/>
                <w:szCs w:val="18"/>
              </w:rPr>
              <w:t>4</w:t>
            </w:r>
            <w:r>
              <w:rPr>
                <w:rFonts w:cs="Arial"/>
                <w:color w:val="000000" w:themeColor="text1"/>
                <w:szCs w:val="18"/>
              </w:rPr>
              <w:t>.</w:t>
            </w:r>
            <w:r w:rsidRPr="00DE6952">
              <w:rPr>
                <w:rFonts w:cs="Arial"/>
                <w:color w:val="000000" w:themeColor="text1"/>
                <w:szCs w:val="18"/>
              </w:rPr>
              <w:t>00</w:t>
            </w:r>
            <w:r>
              <w:rPr>
                <w:rFonts w:cs="Arial"/>
                <w:color w:val="000000" w:themeColor="text1"/>
                <w:szCs w:val="18"/>
              </w:rPr>
              <w:t>x10</w:t>
            </w:r>
            <w:r w:rsidRPr="00FE5B69">
              <w:rPr>
                <w:rFonts w:cs="Arial"/>
                <w:color w:val="000000" w:themeColor="text1"/>
                <w:szCs w:val="18"/>
                <w:vertAlign w:val="superscript"/>
              </w:rPr>
              <w:t>-6</w:t>
            </w:r>
          </w:p>
        </w:tc>
        <w:tc>
          <w:tcPr>
            <w:tcW w:w="992" w:type="dxa"/>
            <w:noWrap/>
          </w:tcPr>
          <w:p w14:paraId="0FC85120" w14:textId="74AB6E16"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Pr>
                <w:rFonts w:cs="Arial"/>
                <w:color w:val="000000" w:themeColor="text1"/>
                <w:szCs w:val="18"/>
              </w:rPr>
              <w:t>0.00x10</w:t>
            </w:r>
            <w:r>
              <w:rPr>
                <w:rFonts w:cs="Arial"/>
                <w:color w:val="000000" w:themeColor="text1"/>
                <w:szCs w:val="18"/>
                <w:vertAlign w:val="superscript"/>
              </w:rPr>
              <w:t>0</w:t>
            </w:r>
          </w:p>
        </w:tc>
        <w:tc>
          <w:tcPr>
            <w:tcW w:w="1039" w:type="dxa"/>
            <w:noWrap/>
          </w:tcPr>
          <w:p w14:paraId="12DCE73C" w14:textId="4437B293"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875AC2">
              <w:rPr>
                <w:rFonts w:cs="Arial"/>
                <w:color w:val="000000" w:themeColor="text1"/>
                <w:szCs w:val="18"/>
              </w:rPr>
              <w:t>0.00x10</w:t>
            </w:r>
            <w:r w:rsidRPr="00875AC2">
              <w:rPr>
                <w:rFonts w:cs="Arial"/>
                <w:color w:val="000000" w:themeColor="text1"/>
                <w:szCs w:val="18"/>
                <w:vertAlign w:val="superscript"/>
              </w:rPr>
              <w:t>0</w:t>
            </w:r>
          </w:p>
        </w:tc>
      </w:tr>
      <w:tr w:rsidR="009451CD" w:rsidRPr="00DE6952" w14:paraId="1EC3361B" w14:textId="77777777" w:rsidTr="002F2222">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560" w:type="dxa"/>
            <w:noWrap/>
          </w:tcPr>
          <w:p w14:paraId="691E3C65" w14:textId="77777777" w:rsidR="009451CD" w:rsidRPr="00DE6952" w:rsidRDefault="009451CD" w:rsidP="009451CD">
            <w:pPr>
              <w:pStyle w:val="CETBodytext"/>
              <w:rPr>
                <w:rFonts w:cs="Arial"/>
                <w:color w:val="000000" w:themeColor="text1"/>
                <w:szCs w:val="18"/>
              </w:rPr>
            </w:pPr>
            <w:r w:rsidRPr="00DE6952">
              <w:rPr>
                <w:rFonts w:cs="Arial"/>
                <w:b w:val="0"/>
                <w:bCs w:val="0"/>
                <w:color w:val="000000" w:themeColor="text1"/>
                <w:szCs w:val="18"/>
              </w:rPr>
              <w:t>Leucine</w:t>
            </w:r>
          </w:p>
        </w:tc>
        <w:tc>
          <w:tcPr>
            <w:tcW w:w="992" w:type="dxa"/>
            <w:noWrap/>
          </w:tcPr>
          <w:p w14:paraId="47FFCAEE" w14:textId="4DD6CE11"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3</w:t>
            </w:r>
            <w:r>
              <w:rPr>
                <w:rFonts w:cs="Arial"/>
                <w:color w:val="000000" w:themeColor="text1"/>
                <w:szCs w:val="18"/>
              </w:rPr>
              <w:t>.</w:t>
            </w:r>
            <w:r w:rsidRPr="00DE6952">
              <w:rPr>
                <w:rFonts w:cs="Arial"/>
                <w:color w:val="000000" w:themeColor="text1"/>
                <w:szCs w:val="18"/>
              </w:rPr>
              <w:t>16</w:t>
            </w:r>
            <w:r>
              <w:rPr>
                <w:rFonts w:cs="Arial"/>
                <w:color w:val="000000" w:themeColor="text1"/>
                <w:szCs w:val="18"/>
              </w:rPr>
              <w:t>x10</w:t>
            </w:r>
            <w:r w:rsidRPr="002F2222">
              <w:rPr>
                <w:rFonts w:cs="Arial"/>
                <w:color w:val="000000" w:themeColor="text1"/>
                <w:szCs w:val="18"/>
                <w:vertAlign w:val="superscript"/>
              </w:rPr>
              <w:t>-3</w:t>
            </w:r>
          </w:p>
        </w:tc>
        <w:tc>
          <w:tcPr>
            <w:tcW w:w="992" w:type="dxa"/>
            <w:tcBorders>
              <w:top w:val="nil"/>
              <w:left w:val="nil"/>
              <w:bottom w:val="nil"/>
              <w:right w:val="nil"/>
            </w:tcBorders>
            <w:shd w:val="clear" w:color="auto" w:fill="auto"/>
            <w:noWrap/>
          </w:tcPr>
          <w:p w14:paraId="3B18D6F1" w14:textId="02A19665"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4</w:t>
            </w:r>
            <w:r>
              <w:rPr>
                <w:rFonts w:cs="Arial"/>
                <w:color w:val="000000" w:themeColor="text1"/>
                <w:szCs w:val="18"/>
              </w:rPr>
              <w:t>.</w:t>
            </w:r>
            <w:r w:rsidRPr="00DE6952">
              <w:rPr>
                <w:rFonts w:cs="Arial"/>
                <w:color w:val="000000" w:themeColor="text1"/>
                <w:szCs w:val="18"/>
              </w:rPr>
              <w:t>98</w:t>
            </w:r>
            <w:r>
              <w:rPr>
                <w:rFonts w:cs="Arial"/>
                <w:color w:val="000000" w:themeColor="text1"/>
                <w:szCs w:val="18"/>
              </w:rPr>
              <w:t>x10</w:t>
            </w:r>
            <w:r w:rsidRPr="005C5D99">
              <w:rPr>
                <w:rFonts w:cs="Arial"/>
                <w:color w:val="000000" w:themeColor="text1"/>
                <w:szCs w:val="18"/>
                <w:vertAlign w:val="superscript"/>
              </w:rPr>
              <w:t>-3</w:t>
            </w:r>
          </w:p>
        </w:tc>
        <w:tc>
          <w:tcPr>
            <w:tcW w:w="992" w:type="dxa"/>
            <w:noWrap/>
          </w:tcPr>
          <w:p w14:paraId="42FAA428" w14:textId="2CB4C6CD"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6</w:t>
            </w:r>
            <w:r>
              <w:rPr>
                <w:rFonts w:cs="Arial"/>
                <w:color w:val="000000" w:themeColor="text1"/>
                <w:szCs w:val="18"/>
              </w:rPr>
              <w:t>.</w:t>
            </w:r>
            <w:r w:rsidRPr="00DE6952">
              <w:rPr>
                <w:rFonts w:cs="Arial"/>
                <w:color w:val="000000" w:themeColor="text1"/>
                <w:szCs w:val="18"/>
              </w:rPr>
              <w:t>00</w:t>
            </w:r>
            <w:r>
              <w:rPr>
                <w:rFonts w:cs="Arial"/>
                <w:color w:val="000000" w:themeColor="text1"/>
                <w:szCs w:val="18"/>
              </w:rPr>
              <w:t>x10</w:t>
            </w:r>
            <w:r w:rsidRPr="007F6509">
              <w:rPr>
                <w:rFonts w:cs="Arial"/>
                <w:color w:val="000000" w:themeColor="text1"/>
                <w:szCs w:val="18"/>
                <w:vertAlign w:val="superscript"/>
              </w:rPr>
              <w:t>-2</w:t>
            </w:r>
          </w:p>
        </w:tc>
        <w:tc>
          <w:tcPr>
            <w:tcW w:w="992" w:type="dxa"/>
            <w:noWrap/>
          </w:tcPr>
          <w:p w14:paraId="24786CBF" w14:textId="1C9E4E4F"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9</w:t>
            </w:r>
            <w:r>
              <w:rPr>
                <w:rFonts w:cs="Arial"/>
                <w:color w:val="000000" w:themeColor="text1"/>
                <w:szCs w:val="18"/>
              </w:rPr>
              <w:t>.</w:t>
            </w:r>
            <w:r w:rsidRPr="00DE6952">
              <w:rPr>
                <w:rFonts w:cs="Arial"/>
                <w:color w:val="000000" w:themeColor="text1"/>
                <w:szCs w:val="18"/>
              </w:rPr>
              <w:t>88</w:t>
            </w:r>
            <w:r>
              <w:rPr>
                <w:rFonts w:cs="Arial"/>
                <w:color w:val="000000" w:themeColor="text1"/>
                <w:szCs w:val="18"/>
              </w:rPr>
              <w:t>x10</w:t>
            </w:r>
            <w:r w:rsidRPr="00FE5B69">
              <w:rPr>
                <w:rFonts w:cs="Arial"/>
                <w:color w:val="000000" w:themeColor="text1"/>
                <w:szCs w:val="18"/>
                <w:vertAlign w:val="superscript"/>
              </w:rPr>
              <w:t>-3</w:t>
            </w:r>
          </w:p>
        </w:tc>
        <w:tc>
          <w:tcPr>
            <w:tcW w:w="1068" w:type="dxa"/>
            <w:noWrap/>
          </w:tcPr>
          <w:p w14:paraId="3AF0A98A" w14:textId="558566CC"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1</w:t>
            </w:r>
            <w:r>
              <w:rPr>
                <w:rFonts w:cs="Arial"/>
                <w:color w:val="000000" w:themeColor="text1"/>
                <w:szCs w:val="18"/>
              </w:rPr>
              <w:t>.</w:t>
            </w:r>
            <w:r w:rsidRPr="00DE6952">
              <w:rPr>
                <w:rFonts w:cs="Arial"/>
                <w:color w:val="000000" w:themeColor="text1"/>
                <w:szCs w:val="18"/>
              </w:rPr>
              <w:t>00</w:t>
            </w:r>
            <w:r>
              <w:rPr>
                <w:rFonts w:cs="Arial"/>
                <w:color w:val="000000" w:themeColor="text1"/>
                <w:szCs w:val="18"/>
              </w:rPr>
              <w:t>x10</w:t>
            </w:r>
            <w:r w:rsidRPr="001D767C">
              <w:rPr>
                <w:rFonts w:cs="Arial"/>
                <w:color w:val="000000" w:themeColor="text1"/>
                <w:szCs w:val="18"/>
                <w:vertAlign w:val="superscript"/>
              </w:rPr>
              <w:t>-6</w:t>
            </w:r>
          </w:p>
        </w:tc>
        <w:tc>
          <w:tcPr>
            <w:tcW w:w="992" w:type="dxa"/>
            <w:noWrap/>
          </w:tcPr>
          <w:p w14:paraId="3DA4D7EB" w14:textId="762E55A0"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1</w:t>
            </w:r>
            <w:r>
              <w:rPr>
                <w:rFonts w:cs="Arial"/>
                <w:color w:val="000000" w:themeColor="text1"/>
                <w:szCs w:val="18"/>
              </w:rPr>
              <w:t>.</w:t>
            </w:r>
            <w:r w:rsidRPr="00DE6952">
              <w:rPr>
                <w:rFonts w:cs="Arial"/>
                <w:color w:val="000000" w:themeColor="text1"/>
                <w:szCs w:val="18"/>
              </w:rPr>
              <w:t>60</w:t>
            </w:r>
            <w:r>
              <w:rPr>
                <w:rFonts w:cs="Arial"/>
                <w:color w:val="000000" w:themeColor="text1"/>
                <w:szCs w:val="18"/>
              </w:rPr>
              <w:t>x10</w:t>
            </w:r>
            <w:r w:rsidRPr="001D767C">
              <w:rPr>
                <w:rFonts w:cs="Arial"/>
                <w:color w:val="000000" w:themeColor="text1"/>
                <w:szCs w:val="18"/>
                <w:vertAlign w:val="superscript"/>
              </w:rPr>
              <w:t>-5</w:t>
            </w:r>
          </w:p>
        </w:tc>
        <w:tc>
          <w:tcPr>
            <w:tcW w:w="1039" w:type="dxa"/>
            <w:noWrap/>
          </w:tcPr>
          <w:p w14:paraId="77FC2277" w14:textId="1DABF976"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875AC2">
              <w:rPr>
                <w:rFonts w:cs="Arial"/>
                <w:color w:val="000000" w:themeColor="text1"/>
                <w:szCs w:val="18"/>
              </w:rPr>
              <w:t>0.00x10</w:t>
            </w:r>
            <w:r w:rsidRPr="00875AC2">
              <w:rPr>
                <w:rFonts w:cs="Arial"/>
                <w:color w:val="000000" w:themeColor="text1"/>
                <w:szCs w:val="18"/>
                <w:vertAlign w:val="superscript"/>
              </w:rPr>
              <w:t>0</w:t>
            </w:r>
          </w:p>
        </w:tc>
      </w:tr>
      <w:tr w:rsidR="009451CD" w:rsidRPr="00DE6952" w14:paraId="2B6BBF18" w14:textId="77777777" w:rsidTr="002F2222">
        <w:trPr>
          <w:trHeight w:val="188"/>
        </w:trPr>
        <w:tc>
          <w:tcPr>
            <w:cnfStyle w:val="001000000000" w:firstRow="0" w:lastRow="0" w:firstColumn="1" w:lastColumn="0" w:oddVBand="0" w:evenVBand="0" w:oddHBand="0" w:evenHBand="0" w:firstRowFirstColumn="0" w:firstRowLastColumn="0" w:lastRowFirstColumn="0" w:lastRowLastColumn="0"/>
            <w:tcW w:w="1560" w:type="dxa"/>
            <w:noWrap/>
          </w:tcPr>
          <w:p w14:paraId="41FF5B7C" w14:textId="77777777" w:rsidR="009451CD" w:rsidRPr="00DE6952" w:rsidRDefault="009451CD" w:rsidP="009451CD">
            <w:pPr>
              <w:pStyle w:val="CETBodytext"/>
              <w:rPr>
                <w:rFonts w:cs="Arial"/>
                <w:color w:val="000000" w:themeColor="text1"/>
                <w:szCs w:val="18"/>
              </w:rPr>
            </w:pPr>
            <w:r w:rsidRPr="00DE6952">
              <w:rPr>
                <w:rFonts w:cs="Arial"/>
                <w:b w:val="0"/>
                <w:bCs w:val="0"/>
                <w:color w:val="000000" w:themeColor="text1"/>
                <w:szCs w:val="18"/>
              </w:rPr>
              <w:t>Glucose</w:t>
            </w:r>
          </w:p>
        </w:tc>
        <w:tc>
          <w:tcPr>
            <w:tcW w:w="992" w:type="dxa"/>
            <w:noWrap/>
          </w:tcPr>
          <w:p w14:paraId="7C658E4B" w14:textId="1DDD9EC2"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2</w:t>
            </w:r>
            <w:r>
              <w:rPr>
                <w:rFonts w:cs="Arial"/>
                <w:color w:val="000000" w:themeColor="text1"/>
                <w:szCs w:val="18"/>
              </w:rPr>
              <w:t>.</w:t>
            </w:r>
            <w:r w:rsidRPr="00DE6952">
              <w:rPr>
                <w:rFonts w:cs="Arial"/>
                <w:color w:val="000000" w:themeColor="text1"/>
                <w:szCs w:val="18"/>
              </w:rPr>
              <w:t>49</w:t>
            </w:r>
            <w:r>
              <w:rPr>
                <w:rFonts w:cs="Arial"/>
                <w:color w:val="000000" w:themeColor="text1"/>
                <w:szCs w:val="18"/>
              </w:rPr>
              <w:t>x10</w:t>
            </w:r>
            <w:r w:rsidRPr="002F2222">
              <w:rPr>
                <w:rFonts w:cs="Arial"/>
                <w:color w:val="000000" w:themeColor="text1"/>
                <w:szCs w:val="18"/>
                <w:vertAlign w:val="superscript"/>
              </w:rPr>
              <w:t>-2</w:t>
            </w:r>
          </w:p>
        </w:tc>
        <w:tc>
          <w:tcPr>
            <w:tcW w:w="992" w:type="dxa"/>
            <w:tcBorders>
              <w:top w:val="nil"/>
              <w:left w:val="nil"/>
              <w:bottom w:val="nil"/>
              <w:right w:val="nil"/>
            </w:tcBorders>
            <w:shd w:val="clear" w:color="auto" w:fill="auto"/>
            <w:noWrap/>
          </w:tcPr>
          <w:p w14:paraId="5F10C2D0" w14:textId="0C134D34"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6</w:t>
            </w:r>
            <w:r>
              <w:rPr>
                <w:rFonts w:cs="Arial"/>
                <w:color w:val="000000" w:themeColor="text1"/>
                <w:szCs w:val="18"/>
              </w:rPr>
              <w:t>.</w:t>
            </w:r>
            <w:r w:rsidRPr="00DE6952">
              <w:rPr>
                <w:rFonts w:cs="Arial"/>
                <w:color w:val="000000" w:themeColor="text1"/>
                <w:szCs w:val="18"/>
              </w:rPr>
              <w:t>46</w:t>
            </w:r>
            <w:r>
              <w:rPr>
                <w:rFonts w:cs="Arial"/>
                <w:color w:val="000000" w:themeColor="text1"/>
                <w:szCs w:val="18"/>
              </w:rPr>
              <w:t>x10</w:t>
            </w:r>
            <w:r w:rsidRPr="005C5D99">
              <w:rPr>
                <w:rFonts w:cs="Arial"/>
                <w:color w:val="000000" w:themeColor="text1"/>
                <w:szCs w:val="18"/>
                <w:vertAlign w:val="superscript"/>
              </w:rPr>
              <w:t>-2</w:t>
            </w:r>
          </w:p>
        </w:tc>
        <w:tc>
          <w:tcPr>
            <w:tcW w:w="992" w:type="dxa"/>
            <w:noWrap/>
          </w:tcPr>
          <w:p w14:paraId="210E913D" w14:textId="2E3B6903"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1</w:t>
            </w:r>
            <w:r>
              <w:rPr>
                <w:rFonts w:cs="Arial"/>
                <w:color w:val="000000" w:themeColor="text1"/>
                <w:szCs w:val="18"/>
              </w:rPr>
              <w:t>.</w:t>
            </w:r>
            <w:r w:rsidRPr="00DE6952">
              <w:rPr>
                <w:rFonts w:cs="Arial"/>
                <w:color w:val="000000" w:themeColor="text1"/>
                <w:szCs w:val="18"/>
              </w:rPr>
              <w:t>85</w:t>
            </w:r>
            <w:r>
              <w:rPr>
                <w:rFonts w:cs="Arial"/>
                <w:color w:val="000000" w:themeColor="text1"/>
                <w:szCs w:val="18"/>
              </w:rPr>
              <w:t>x10</w:t>
            </w:r>
            <w:r w:rsidRPr="007F6509">
              <w:rPr>
                <w:rFonts w:cs="Arial"/>
                <w:color w:val="000000" w:themeColor="text1"/>
                <w:szCs w:val="18"/>
                <w:vertAlign w:val="superscript"/>
              </w:rPr>
              <w:t>-1</w:t>
            </w:r>
          </w:p>
        </w:tc>
        <w:tc>
          <w:tcPr>
            <w:tcW w:w="992" w:type="dxa"/>
            <w:noWrap/>
          </w:tcPr>
          <w:p w14:paraId="46E6854F" w14:textId="002EFEE6"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3</w:t>
            </w:r>
            <w:r>
              <w:rPr>
                <w:rFonts w:cs="Arial"/>
                <w:color w:val="000000" w:themeColor="text1"/>
                <w:szCs w:val="18"/>
              </w:rPr>
              <w:t>.</w:t>
            </w:r>
            <w:r w:rsidRPr="00DE6952">
              <w:rPr>
                <w:rFonts w:cs="Arial"/>
                <w:color w:val="000000" w:themeColor="text1"/>
                <w:szCs w:val="18"/>
              </w:rPr>
              <w:t>05</w:t>
            </w:r>
            <w:r>
              <w:rPr>
                <w:rFonts w:cs="Arial"/>
                <w:color w:val="000000" w:themeColor="text1"/>
                <w:szCs w:val="18"/>
              </w:rPr>
              <w:t>x10</w:t>
            </w:r>
            <w:r w:rsidRPr="00FE5B69">
              <w:rPr>
                <w:rFonts w:cs="Arial"/>
                <w:color w:val="000000" w:themeColor="text1"/>
                <w:szCs w:val="18"/>
                <w:vertAlign w:val="superscript"/>
              </w:rPr>
              <w:t>-2</w:t>
            </w:r>
          </w:p>
        </w:tc>
        <w:tc>
          <w:tcPr>
            <w:tcW w:w="1068" w:type="dxa"/>
            <w:noWrap/>
          </w:tcPr>
          <w:p w14:paraId="149511BA" w14:textId="79C5925F"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3</w:t>
            </w:r>
            <w:r>
              <w:rPr>
                <w:rFonts w:cs="Arial"/>
                <w:color w:val="000000" w:themeColor="text1"/>
                <w:szCs w:val="18"/>
              </w:rPr>
              <w:t>.</w:t>
            </w:r>
            <w:r w:rsidRPr="00DE6952">
              <w:rPr>
                <w:rFonts w:cs="Arial"/>
                <w:color w:val="000000" w:themeColor="text1"/>
                <w:szCs w:val="18"/>
              </w:rPr>
              <w:t>00</w:t>
            </w:r>
            <w:r>
              <w:rPr>
                <w:rFonts w:cs="Arial"/>
                <w:color w:val="000000" w:themeColor="text1"/>
                <w:szCs w:val="18"/>
              </w:rPr>
              <w:t>x10</w:t>
            </w:r>
            <w:r w:rsidRPr="001D767C">
              <w:rPr>
                <w:rFonts w:cs="Arial"/>
                <w:color w:val="000000" w:themeColor="text1"/>
                <w:szCs w:val="18"/>
                <w:vertAlign w:val="superscript"/>
              </w:rPr>
              <w:t>-6</w:t>
            </w:r>
          </w:p>
        </w:tc>
        <w:tc>
          <w:tcPr>
            <w:tcW w:w="992" w:type="dxa"/>
            <w:noWrap/>
          </w:tcPr>
          <w:p w14:paraId="35D5C0DF" w14:textId="03345669"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4</w:t>
            </w:r>
            <w:r>
              <w:rPr>
                <w:rFonts w:cs="Arial"/>
                <w:color w:val="000000" w:themeColor="text1"/>
                <w:szCs w:val="18"/>
              </w:rPr>
              <w:t>.</w:t>
            </w:r>
            <w:r w:rsidRPr="00DE6952">
              <w:rPr>
                <w:rFonts w:cs="Arial"/>
                <w:color w:val="000000" w:themeColor="text1"/>
                <w:szCs w:val="18"/>
              </w:rPr>
              <w:t>80</w:t>
            </w:r>
            <w:r>
              <w:rPr>
                <w:rFonts w:cs="Arial"/>
                <w:color w:val="000000" w:themeColor="text1"/>
                <w:szCs w:val="18"/>
              </w:rPr>
              <w:t>x10</w:t>
            </w:r>
            <w:r w:rsidRPr="001D767C">
              <w:rPr>
                <w:rFonts w:cs="Arial"/>
                <w:color w:val="000000" w:themeColor="text1"/>
                <w:szCs w:val="18"/>
                <w:vertAlign w:val="superscript"/>
              </w:rPr>
              <w:t>-5</w:t>
            </w:r>
          </w:p>
        </w:tc>
        <w:tc>
          <w:tcPr>
            <w:tcW w:w="1039" w:type="dxa"/>
            <w:noWrap/>
          </w:tcPr>
          <w:p w14:paraId="6454FC9B" w14:textId="0243145E"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875AC2">
              <w:rPr>
                <w:rFonts w:cs="Arial"/>
                <w:color w:val="000000" w:themeColor="text1"/>
                <w:szCs w:val="18"/>
              </w:rPr>
              <w:t>0.00x10</w:t>
            </w:r>
            <w:r w:rsidRPr="00875AC2">
              <w:rPr>
                <w:rFonts w:cs="Arial"/>
                <w:color w:val="000000" w:themeColor="text1"/>
                <w:szCs w:val="18"/>
                <w:vertAlign w:val="superscript"/>
              </w:rPr>
              <w:t>0</w:t>
            </w:r>
          </w:p>
        </w:tc>
      </w:tr>
      <w:tr w:rsidR="009451CD" w:rsidRPr="00DE6952" w14:paraId="167CF794" w14:textId="77777777" w:rsidTr="002F2222">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560" w:type="dxa"/>
            <w:noWrap/>
          </w:tcPr>
          <w:p w14:paraId="5F8ECE10" w14:textId="77777777" w:rsidR="009451CD" w:rsidRPr="00DE6952" w:rsidRDefault="009451CD" w:rsidP="009451CD">
            <w:pPr>
              <w:pStyle w:val="CETBodytext"/>
              <w:rPr>
                <w:rFonts w:cs="Arial"/>
                <w:color w:val="000000" w:themeColor="text1"/>
                <w:szCs w:val="18"/>
              </w:rPr>
            </w:pPr>
            <w:r w:rsidRPr="00DE6952">
              <w:rPr>
                <w:rFonts w:cs="Arial"/>
                <w:b w:val="0"/>
                <w:bCs w:val="0"/>
                <w:color w:val="000000" w:themeColor="text1"/>
                <w:szCs w:val="18"/>
              </w:rPr>
              <w:t>Calcium o</w:t>
            </w:r>
          </w:p>
        </w:tc>
        <w:tc>
          <w:tcPr>
            <w:tcW w:w="992" w:type="dxa"/>
            <w:noWrap/>
          </w:tcPr>
          <w:p w14:paraId="04842D8F" w14:textId="21230BB8"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1</w:t>
            </w:r>
            <w:r>
              <w:rPr>
                <w:rFonts w:cs="Arial"/>
                <w:color w:val="000000" w:themeColor="text1"/>
                <w:szCs w:val="18"/>
              </w:rPr>
              <w:t>.</w:t>
            </w:r>
            <w:r w:rsidRPr="00DE6952">
              <w:rPr>
                <w:rFonts w:cs="Arial"/>
                <w:color w:val="000000" w:themeColor="text1"/>
                <w:szCs w:val="18"/>
              </w:rPr>
              <w:t>15</w:t>
            </w:r>
            <w:r>
              <w:rPr>
                <w:rFonts w:cs="Arial"/>
                <w:color w:val="000000" w:themeColor="text1"/>
                <w:szCs w:val="18"/>
              </w:rPr>
              <w:t>x10</w:t>
            </w:r>
            <w:r w:rsidRPr="002F2222">
              <w:rPr>
                <w:rFonts w:cs="Arial"/>
                <w:color w:val="000000" w:themeColor="text1"/>
                <w:szCs w:val="18"/>
                <w:vertAlign w:val="superscript"/>
              </w:rPr>
              <w:t>-2</w:t>
            </w:r>
          </w:p>
        </w:tc>
        <w:tc>
          <w:tcPr>
            <w:tcW w:w="992" w:type="dxa"/>
            <w:tcBorders>
              <w:top w:val="nil"/>
              <w:left w:val="nil"/>
              <w:bottom w:val="nil"/>
              <w:right w:val="nil"/>
            </w:tcBorders>
            <w:shd w:val="clear" w:color="auto" w:fill="auto"/>
            <w:noWrap/>
          </w:tcPr>
          <w:p w14:paraId="5DD47015" w14:textId="5B857352"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2</w:t>
            </w:r>
            <w:r>
              <w:rPr>
                <w:rFonts w:cs="Arial"/>
                <w:color w:val="000000" w:themeColor="text1"/>
                <w:szCs w:val="18"/>
              </w:rPr>
              <w:t>.</w:t>
            </w:r>
            <w:r w:rsidRPr="00DE6952">
              <w:rPr>
                <w:rFonts w:cs="Arial"/>
                <w:color w:val="000000" w:themeColor="text1"/>
                <w:szCs w:val="18"/>
              </w:rPr>
              <w:t>99</w:t>
            </w:r>
            <w:r>
              <w:rPr>
                <w:rFonts w:cs="Arial"/>
                <w:color w:val="000000" w:themeColor="text1"/>
                <w:szCs w:val="18"/>
              </w:rPr>
              <w:t>x10</w:t>
            </w:r>
            <w:r w:rsidRPr="005C5D99">
              <w:rPr>
                <w:rFonts w:cs="Arial"/>
                <w:color w:val="000000" w:themeColor="text1"/>
                <w:szCs w:val="18"/>
                <w:vertAlign w:val="superscript"/>
              </w:rPr>
              <w:t>-2</w:t>
            </w:r>
          </w:p>
        </w:tc>
        <w:tc>
          <w:tcPr>
            <w:tcW w:w="992" w:type="dxa"/>
            <w:noWrap/>
          </w:tcPr>
          <w:p w14:paraId="39DCCB1E" w14:textId="383856F5"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8</w:t>
            </w:r>
            <w:r>
              <w:rPr>
                <w:rFonts w:cs="Arial"/>
                <w:color w:val="000000" w:themeColor="text1"/>
                <w:szCs w:val="18"/>
              </w:rPr>
              <w:t>.</w:t>
            </w:r>
            <w:r w:rsidRPr="00DE6952">
              <w:rPr>
                <w:rFonts w:cs="Arial"/>
                <w:color w:val="000000" w:themeColor="text1"/>
                <w:szCs w:val="18"/>
              </w:rPr>
              <w:t>60</w:t>
            </w:r>
            <w:r>
              <w:rPr>
                <w:rFonts w:cs="Arial"/>
                <w:color w:val="000000" w:themeColor="text1"/>
                <w:szCs w:val="18"/>
              </w:rPr>
              <w:t>x10</w:t>
            </w:r>
            <w:r w:rsidRPr="007F6509">
              <w:rPr>
                <w:rFonts w:cs="Arial"/>
                <w:color w:val="000000" w:themeColor="text1"/>
                <w:szCs w:val="18"/>
                <w:vertAlign w:val="superscript"/>
              </w:rPr>
              <w:t>-2</w:t>
            </w:r>
          </w:p>
        </w:tc>
        <w:tc>
          <w:tcPr>
            <w:tcW w:w="992" w:type="dxa"/>
            <w:noWrap/>
          </w:tcPr>
          <w:p w14:paraId="6669108B" w14:textId="25F57AFF"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1</w:t>
            </w:r>
            <w:r>
              <w:rPr>
                <w:rFonts w:cs="Arial"/>
                <w:color w:val="000000" w:themeColor="text1"/>
                <w:szCs w:val="18"/>
              </w:rPr>
              <w:t>.</w:t>
            </w:r>
            <w:r w:rsidRPr="00DE6952">
              <w:rPr>
                <w:rFonts w:cs="Arial"/>
                <w:color w:val="000000" w:themeColor="text1"/>
                <w:szCs w:val="18"/>
              </w:rPr>
              <w:t>42</w:t>
            </w:r>
            <w:r>
              <w:rPr>
                <w:rFonts w:cs="Arial"/>
                <w:color w:val="000000" w:themeColor="text1"/>
                <w:szCs w:val="18"/>
              </w:rPr>
              <w:t>x10</w:t>
            </w:r>
            <w:r w:rsidRPr="00FE5B69">
              <w:rPr>
                <w:rFonts w:cs="Arial"/>
                <w:color w:val="000000" w:themeColor="text1"/>
                <w:szCs w:val="18"/>
                <w:vertAlign w:val="superscript"/>
              </w:rPr>
              <w:t>-2</w:t>
            </w:r>
          </w:p>
        </w:tc>
        <w:tc>
          <w:tcPr>
            <w:tcW w:w="1068" w:type="dxa"/>
            <w:noWrap/>
          </w:tcPr>
          <w:p w14:paraId="67AC8BBF" w14:textId="2B8D46CA"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1</w:t>
            </w:r>
            <w:r>
              <w:rPr>
                <w:rFonts w:cs="Arial"/>
                <w:color w:val="000000" w:themeColor="text1"/>
                <w:szCs w:val="18"/>
              </w:rPr>
              <w:t>.</w:t>
            </w:r>
            <w:r w:rsidRPr="00DE6952">
              <w:rPr>
                <w:rFonts w:cs="Arial"/>
                <w:color w:val="000000" w:themeColor="text1"/>
                <w:szCs w:val="18"/>
              </w:rPr>
              <w:t>00</w:t>
            </w:r>
            <w:r>
              <w:rPr>
                <w:rFonts w:cs="Arial"/>
                <w:color w:val="000000" w:themeColor="text1"/>
                <w:szCs w:val="18"/>
              </w:rPr>
              <w:t>x10</w:t>
            </w:r>
            <w:r w:rsidRPr="001D767C">
              <w:rPr>
                <w:rFonts w:cs="Arial"/>
                <w:color w:val="000000" w:themeColor="text1"/>
                <w:szCs w:val="18"/>
                <w:vertAlign w:val="superscript"/>
              </w:rPr>
              <w:t>-6</w:t>
            </w:r>
          </w:p>
        </w:tc>
        <w:tc>
          <w:tcPr>
            <w:tcW w:w="992" w:type="dxa"/>
            <w:noWrap/>
          </w:tcPr>
          <w:p w14:paraId="617A03C3" w14:textId="59DB819F"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2</w:t>
            </w:r>
            <w:r>
              <w:rPr>
                <w:rFonts w:cs="Arial"/>
                <w:color w:val="000000" w:themeColor="text1"/>
                <w:szCs w:val="18"/>
              </w:rPr>
              <w:t>.</w:t>
            </w:r>
            <w:r w:rsidRPr="00DE6952">
              <w:rPr>
                <w:rFonts w:cs="Arial"/>
                <w:color w:val="000000" w:themeColor="text1"/>
                <w:szCs w:val="18"/>
              </w:rPr>
              <w:t>20</w:t>
            </w:r>
            <w:r>
              <w:rPr>
                <w:rFonts w:cs="Arial"/>
                <w:color w:val="000000" w:themeColor="text1"/>
                <w:szCs w:val="18"/>
              </w:rPr>
              <w:t>x10</w:t>
            </w:r>
            <w:r w:rsidRPr="001D767C">
              <w:rPr>
                <w:rFonts w:cs="Arial"/>
                <w:color w:val="000000" w:themeColor="text1"/>
                <w:szCs w:val="18"/>
                <w:vertAlign w:val="superscript"/>
              </w:rPr>
              <w:t>-5</w:t>
            </w:r>
          </w:p>
        </w:tc>
        <w:tc>
          <w:tcPr>
            <w:tcW w:w="1039" w:type="dxa"/>
            <w:noWrap/>
          </w:tcPr>
          <w:p w14:paraId="20EF46D4" w14:textId="26CB3D4D"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875AC2">
              <w:rPr>
                <w:rFonts w:cs="Arial"/>
                <w:color w:val="000000" w:themeColor="text1"/>
                <w:szCs w:val="18"/>
              </w:rPr>
              <w:t>0.00x10</w:t>
            </w:r>
            <w:r w:rsidRPr="00875AC2">
              <w:rPr>
                <w:rFonts w:cs="Arial"/>
                <w:color w:val="000000" w:themeColor="text1"/>
                <w:szCs w:val="18"/>
                <w:vertAlign w:val="superscript"/>
              </w:rPr>
              <w:t>0</w:t>
            </w:r>
          </w:p>
        </w:tc>
      </w:tr>
      <w:tr w:rsidR="009451CD" w:rsidRPr="00DE6952" w14:paraId="464A57C6" w14:textId="77777777" w:rsidTr="002F2222">
        <w:trPr>
          <w:trHeight w:val="188"/>
        </w:trPr>
        <w:tc>
          <w:tcPr>
            <w:cnfStyle w:val="001000000000" w:firstRow="0" w:lastRow="0" w:firstColumn="1" w:lastColumn="0" w:oddVBand="0" w:evenVBand="0" w:oddHBand="0" w:evenHBand="0" w:firstRowFirstColumn="0" w:firstRowLastColumn="0" w:lastRowFirstColumn="0" w:lastRowLastColumn="0"/>
            <w:tcW w:w="1560" w:type="dxa"/>
            <w:noWrap/>
          </w:tcPr>
          <w:p w14:paraId="5332A3F5" w14:textId="77777777" w:rsidR="009451CD" w:rsidRPr="00DE6952" w:rsidRDefault="009451CD" w:rsidP="009451CD">
            <w:pPr>
              <w:pStyle w:val="CETBodytext"/>
              <w:rPr>
                <w:rFonts w:cs="Arial"/>
                <w:color w:val="000000" w:themeColor="text1"/>
                <w:szCs w:val="18"/>
              </w:rPr>
            </w:pPr>
            <w:r w:rsidRPr="00DE6952">
              <w:rPr>
                <w:rFonts w:cs="Arial"/>
                <w:b w:val="0"/>
                <w:bCs w:val="0"/>
                <w:color w:val="000000" w:themeColor="text1"/>
                <w:szCs w:val="18"/>
              </w:rPr>
              <w:t>Lauric</w:t>
            </w:r>
          </w:p>
        </w:tc>
        <w:tc>
          <w:tcPr>
            <w:tcW w:w="992" w:type="dxa"/>
            <w:noWrap/>
          </w:tcPr>
          <w:p w14:paraId="58C8DAE0" w14:textId="0C09093B"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3</w:t>
            </w:r>
            <w:r>
              <w:rPr>
                <w:rFonts w:cs="Arial"/>
                <w:color w:val="000000" w:themeColor="text1"/>
                <w:szCs w:val="18"/>
              </w:rPr>
              <w:t>.</w:t>
            </w:r>
            <w:r w:rsidRPr="00DE6952">
              <w:rPr>
                <w:rFonts w:cs="Arial"/>
                <w:color w:val="000000" w:themeColor="text1"/>
                <w:szCs w:val="18"/>
              </w:rPr>
              <w:t>00</w:t>
            </w:r>
            <w:r>
              <w:rPr>
                <w:rFonts w:cs="Arial"/>
                <w:color w:val="000000" w:themeColor="text1"/>
                <w:szCs w:val="18"/>
              </w:rPr>
              <w:t>x10</w:t>
            </w:r>
            <w:r w:rsidRPr="002F2222">
              <w:rPr>
                <w:rFonts w:cs="Arial"/>
                <w:color w:val="000000" w:themeColor="text1"/>
                <w:szCs w:val="18"/>
                <w:vertAlign w:val="superscript"/>
              </w:rPr>
              <w:t>-6</w:t>
            </w:r>
          </w:p>
        </w:tc>
        <w:tc>
          <w:tcPr>
            <w:tcW w:w="992" w:type="dxa"/>
            <w:noWrap/>
          </w:tcPr>
          <w:p w14:paraId="2C819A4B" w14:textId="55E9C50D"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B8304F">
              <w:rPr>
                <w:rFonts w:cs="Arial"/>
                <w:color w:val="000000" w:themeColor="text1"/>
                <w:szCs w:val="18"/>
              </w:rPr>
              <w:t>0</w:t>
            </w:r>
            <w:r>
              <w:rPr>
                <w:rFonts w:cs="Arial"/>
                <w:color w:val="000000" w:themeColor="text1"/>
                <w:szCs w:val="18"/>
              </w:rPr>
              <w:t>.</w:t>
            </w:r>
            <w:r w:rsidRPr="00B8304F">
              <w:rPr>
                <w:rFonts w:cs="Arial"/>
                <w:color w:val="000000" w:themeColor="text1"/>
                <w:szCs w:val="18"/>
              </w:rPr>
              <w:t>00x10</w:t>
            </w:r>
            <w:r w:rsidRPr="00B8304F">
              <w:rPr>
                <w:rFonts w:cs="Arial"/>
                <w:color w:val="000000" w:themeColor="text1"/>
                <w:szCs w:val="18"/>
                <w:vertAlign w:val="superscript"/>
              </w:rPr>
              <w:t>0</w:t>
            </w:r>
          </w:p>
        </w:tc>
        <w:tc>
          <w:tcPr>
            <w:tcW w:w="992" w:type="dxa"/>
            <w:noWrap/>
          </w:tcPr>
          <w:p w14:paraId="0308FDB3" w14:textId="646CB7B0"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1</w:t>
            </w:r>
            <w:r>
              <w:rPr>
                <w:rFonts w:cs="Arial"/>
                <w:color w:val="000000" w:themeColor="text1"/>
                <w:szCs w:val="18"/>
              </w:rPr>
              <w:t>.</w:t>
            </w:r>
            <w:r w:rsidRPr="00DE6952">
              <w:rPr>
                <w:rFonts w:cs="Arial"/>
                <w:color w:val="000000" w:themeColor="text1"/>
                <w:szCs w:val="18"/>
              </w:rPr>
              <w:t>30</w:t>
            </w:r>
            <w:r>
              <w:rPr>
                <w:rFonts w:cs="Arial"/>
                <w:color w:val="000000" w:themeColor="text1"/>
                <w:szCs w:val="18"/>
              </w:rPr>
              <w:t>x10</w:t>
            </w:r>
            <w:r w:rsidRPr="007F6509">
              <w:rPr>
                <w:rFonts w:cs="Arial"/>
                <w:color w:val="000000" w:themeColor="text1"/>
                <w:szCs w:val="18"/>
                <w:vertAlign w:val="superscript"/>
              </w:rPr>
              <w:t>-4</w:t>
            </w:r>
          </w:p>
        </w:tc>
        <w:tc>
          <w:tcPr>
            <w:tcW w:w="992" w:type="dxa"/>
            <w:noWrap/>
          </w:tcPr>
          <w:p w14:paraId="0AF97653" w14:textId="557C6061"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2</w:t>
            </w:r>
            <w:r>
              <w:rPr>
                <w:rFonts w:cs="Arial"/>
                <w:color w:val="000000" w:themeColor="text1"/>
                <w:szCs w:val="18"/>
              </w:rPr>
              <w:t>.</w:t>
            </w:r>
            <w:r w:rsidRPr="00DE6952">
              <w:rPr>
                <w:rFonts w:cs="Arial"/>
                <w:color w:val="000000" w:themeColor="text1"/>
                <w:szCs w:val="18"/>
              </w:rPr>
              <w:t>00</w:t>
            </w:r>
            <w:r>
              <w:rPr>
                <w:rFonts w:cs="Arial"/>
                <w:color w:val="000000" w:themeColor="text1"/>
                <w:szCs w:val="18"/>
              </w:rPr>
              <w:t>x10</w:t>
            </w:r>
            <w:r w:rsidRPr="00FE5B69">
              <w:rPr>
                <w:rFonts w:cs="Arial"/>
                <w:color w:val="000000" w:themeColor="text1"/>
                <w:szCs w:val="18"/>
                <w:vertAlign w:val="superscript"/>
              </w:rPr>
              <w:t>-5</w:t>
            </w:r>
          </w:p>
        </w:tc>
        <w:tc>
          <w:tcPr>
            <w:tcW w:w="1068" w:type="dxa"/>
            <w:noWrap/>
          </w:tcPr>
          <w:p w14:paraId="1F3D0DC5" w14:textId="65E18C05"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2</w:t>
            </w:r>
            <w:r>
              <w:rPr>
                <w:rFonts w:cs="Arial"/>
                <w:color w:val="000000" w:themeColor="text1"/>
                <w:szCs w:val="18"/>
              </w:rPr>
              <w:t>.</w:t>
            </w:r>
            <w:r w:rsidRPr="00DE6952">
              <w:rPr>
                <w:rFonts w:cs="Arial"/>
                <w:color w:val="000000" w:themeColor="text1"/>
                <w:szCs w:val="18"/>
              </w:rPr>
              <w:t>30</w:t>
            </w:r>
            <w:r>
              <w:rPr>
                <w:rFonts w:cs="Arial"/>
                <w:color w:val="000000" w:themeColor="text1"/>
                <w:szCs w:val="18"/>
              </w:rPr>
              <w:t>x10</w:t>
            </w:r>
            <w:r w:rsidRPr="001D767C">
              <w:rPr>
                <w:rFonts w:cs="Arial"/>
                <w:color w:val="000000" w:themeColor="text1"/>
                <w:szCs w:val="18"/>
                <w:vertAlign w:val="superscript"/>
              </w:rPr>
              <w:t>-5</w:t>
            </w:r>
          </w:p>
        </w:tc>
        <w:tc>
          <w:tcPr>
            <w:tcW w:w="992" w:type="dxa"/>
            <w:noWrap/>
          </w:tcPr>
          <w:p w14:paraId="04461135" w14:textId="670D2F99"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2</w:t>
            </w:r>
            <w:r>
              <w:rPr>
                <w:rFonts w:cs="Arial"/>
                <w:color w:val="000000" w:themeColor="text1"/>
                <w:szCs w:val="18"/>
              </w:rPr>
              <w:t>.</w:t>
            </w:r>
            <w:r w:rsidRPr="00DE6952">
              <w:rPr>
                <w:rFonts w:cs="Arial"/>
                <w:color w:val="000000" w:themeColor="text1"/>
                <w:szCs w:val="18"/>
              </w:rPr>
              <w:t>90</w:t>
            </w:r>
            <w:r>
              <w:rPr>
                <w:rFonts w:cs="Arial"/>
                <w:color w:val="000000" w:themeColor="text1"/>
                <w:szCs w:val="18"/>
              </w:rPr>
              <w:t>x10</w:t>
            </w:r>
            <w:r w:rsidRPr="001D767C">
              <w:rPr>
                <w:rFonts w:cs="Arial"/>
                <w:color w:val="000000" w:themeColor="text1"/>
                <w:szCs w:val="18"/>
                <w:vertAlign w:val="superscript"/>
              </w:rPr>
              <w:t>-4</w:t>
            </w:r>
          </w:p>
        </w:tc>
        <w:tc>
          <w:tcPr>
            <w:tcW w:w="1039" w:type="dxa"/>
            <w:noWrap/>
          </w:tcPr>
          <w:p w14:paraId="0F0ECFE6" w14:textId="12A423C9"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875AC2">
              <w:rPr>
                <w:rFonts w:cs="Arial"/>
                <w:color w:val="000000" w:themeColor="text1"/>
                <w:szCs w:val="18"/>
              </w:rPr>
              <w:t>0.00x10</w:t>
            </w:r>
            <w:r w:rsidRPr="00875AC2">
              <w:rPr>
                <w:rFonts w:cs="Arial"/>
                <w:color w:val="000000" w:themeColor="text1"/>
                <w:szCs w:val="18"/>
                <w:vertAlign w:val="superscript"/>
              </w:rPr>
              <w:t>0</w:t>
            </w:r>
          </w:p>
        </w:tc>
      </w:tr>
      <w:tr w:rsidR="009451CD" w:rsidRPr="00DE6952" w14:paraId="132A2187" w14:textId="77777777" w:rsidTr="002F2222">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560" w:type="dxa"/>
            <w:noWrap/>
          </w:tcPr>
          <w:p w14:paraId="2D162561" w14:textId="77777777" w:rsidR="009451CD" w:rsidRPr="00DE6952" w:rsidRDefault="009451CD" w:rsidP="009451CD">
            <w:pPr>
              <w:pStyle w:val="CETBodytext"/>
              <w:rPr>
                <w:rFonts w:cs="Arial"/>
                <w:color w:val="000000" w:themeColor="text1"/>
                <w:szCs w:val="18"/>
              </w:rPr>
            </w:pPr>
            <w:r w:rsidRPr="00DE6952">
              <w:rPr>
                <w:rFonts w:cs="Arial"/>
                <w:b w:val="0"/>
                <w:bCs w:val="0"/>
                <w:color w:val="000000" w:themeColor="text1"/>
                <w:szCs w:val="18"/>
              </w:rPr>
              <w:t>Myristic</w:t>
            </w:r>
          </w:p>
        </w:tc>
        <w:tc>
          <w:tcPr>
            <w:tcW w:w="992" w:type="dxa"/>
            <w:noWrap/>
          </w:tcPr>
          <w:p w14:paraId="45A4BF52" w14:textId="7BF97B44"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2</w:t>
            </w:r>
            <w:r>
              <w:rPr>
                <w:rFonts w:cs="Arial"/>
                <w:color w:val="000000" w:themeColor="text1"/>
                <w:szCs w:val="18"/>
              </w:rPr>
              <w:t>.</w:t>
            </w:r>
            <w:r w:rsidRPr="00DE6952">
              <w:rPr>
                <w:rFonts w:cs="Arial"/>
                <w:color w:val="000000" w:themeColor="text1"/>
                <w:szCs w:val="18"/>
              </w:rPr>
              <w:t>30</w:t>
            </w:r>
            <w:r>
              <w:rPr>
                <w:rFonts w:cs="Arial"/>
                <w:color w:val="000000" w:themeColor="text1"/>
                <w:szCs w:val="18"/>
              </w:rPr>
              <w:t>x10</w:t>
            </w:r>
            <w:r w:rsidRPr="002F2222">
              <w:rPr>
                <w:rFonts w:cs="Arial"/>
                <w:color w:val="000000" w:themeColor="text1"/>
                <w:szCs w:val="18"/>
                <w:vertAlign w:val="superscript"/>
              </w:rPr>
              <w:t>-5</w:t>
            </w:r>
          </w:p>
        </w:tc>
        <w:tc>
          <w:tcPr>
            <w:tcW w:w="992" w:type="dxa"/>
            <w:noWrap/>
          </w:tcPr>
          <w:p w14:paraId="5C4C98C2" w14:textId="2A0EB4BC"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8304F">
              <w:rPr>
                <w:rFonts w:cs="Arial"/>
                <w:color w:val="000000" w:themeColor="text1"/>
                <w:szCs w:val="18"/>
              </w:rPr>
              <w:t>0</w:t>
            </w:r>
            <w:r>
              <w:rPr>
                <w:rFonts w:cs="Arial"/>
                <w:color w:val="000000" w:themeColor="text1"/>
                <w:szCs w:val="18"/>
              </w:rPr>
              <w:t>.</w:t>
            </w:r>
            <w:r w:rsidRPr="00B8304F">
              <w:rPr>
                <w:rFonts w:cs="Arial"/>
                <w:color w:val="000000" w:themeColor="text1"/>
                <w:szCs w:val="18"/>
              </w:rPr>
              <w:t>00x10</w:t>
            </w:r>
            <w:r w:rsidRPr="00B8304F">
              <w:rPr>
                <w:rFonts w:cs="Arial"/>
                <w:color w:val="000000" w:themeColor="text1"/>
                <w:szCs w:val="18"/>
                <w:vertAlign w:val="superscript"/>
              </w:rPr>
              <w:t>0</w:t>
            </w:r>
          </w:p>
        </w:tc>
        <w:tc>
          <w:tcPr>
            <w:tcW w:w="992" w:type="dxa"/>
            <w:noWrap/>
          </w:tcPr>
          <w:p w14:paraId="018D40DE" w14:textId="39CFCE1A"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1</w:t>
            </w:r>
            <w:r>
              <w:rPr>
                <w:rFonts w:cs="Arial"/>
                <w:color w:val="000000" w:themeColor="text1"/>
                <w:szCs w:val="18"/>
              </w:rPr>
              <w:t>.</w:t>
            </w:r>
            <w:r w:rsidRPr="00DE6952">
              <w:rPr>
                <w:rFonts w:cs="Arial"/>
                <w:color w:val="000000" w:themeColor="text1"/>
                <w:szCs w:val="18"/>
              </w:rPr>
              <w:t>07</w:t>
            </w:r>
            <w:r>
              <w:rPr>
                <w:rFonts w:cs="Arial"/>
                <w:color w:val="000000" w:themeColor="text1"/>
                <w:szCs w:val="18"/>
              </w:rPr>
              <w:t>x10</w:t>
            </w:r>
            <w:r w:rsidRPr="007F6509">
              <w:rPr>
                <w:rFonts w:cs="Arial"/>
                <w:color w:val="000000" w:themeColor="text1"/>
                <w:szCs w:val="18"/>
                <w:vertAlign w:val="superscript"/>
              </w:rPr>
              <w:t>-3</w:t>
            </w:r>
          </w:p>
        </w:tc>
        <w:tc>
          <w:tcPr>
            <w:tcW w:w="992" w:type="dxa"/>
            <w:noWrap/>
          </w:tcPr>
          <w:p w14:paraId="22FE37D4" w14:textId="1F8A4600"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1</w:t>
            </w:r>
            <w:r>
              <w:rPr>
                <w:rFonts w:cs="Arial"/>
                <w:color w:val="000000" w:themeColor="text1"/>
                <w:szCs w:val="18"/>
              </w:rPr>
              <w:t>.</w:t>
            </w:r>
            <w:r w:rsidRPr="00DE6952">
              <w:rPr>
                <w:rFonts w:cs="Arial"/>
                <w:color w:val="000000" w:themeColor="text1"/>
                <w:szCs w:val="18"/>
              </w:rPr>
              <w:t>70</w:t>
            </w:r>
            <w:r>
              <w:rPr>
                <w:rFonts w:cs="Arial"/>
                <w:color w:val="000000" w:themeColor="text1"/>
                <w:szCs w:val="18"/>
              </w:rPr>
              <w:t>x10</w:t>
            </w:r>
            <w:r w:rsidRPr="00FE5B69">
              <w:rPr>
                <w:rFonts w:cs="Arial"/>
                <w:color w:val="000000" w:themeColor="text1"/>
                <w:szCs w:val="18"/>
                <w:vertAlign w:val="superscript"/>
              </w:rPr>
              <w:t>-4</w:t>
            </w:r>
          </w:p>
        </w:tc>
        <w:tc>
          <w:tcPr>
            <w:tcW w:w="1068" w:type="dxa"/>
            <w:noWrap/>
          </w:tcPr>
          <w:p w14:paraId="0DB075D2" w14:textId="18C59773"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1</w:t>
            </w:r>
            <w:r>
              <w:rPr>
                <w:rFonts w:cs="Arial"/>
                <w:color w:val="000000" w:themeColor="text1"/>
                <w:szCs w:val="18"/>
              </w:rPr>
              <w:t>.</w:t>
            </w:r>
            <w:r w:rsidRPr="00DE6952">
              <w:rPr>
                <w:rFonts w:cs="Arial"/>
                <w:color w:val="000000" w:themeColor="text1"/>
                <w:szCs w:val="18"/>
              </w:rPr>
              <w:t>86</w:t>
            </w:r>
            <w:r>
              <w:rPr>
                <w:rFonts w:cs="Arial"/>
                <w:color w:val="000000" w:themeColor="text1"/>
                <w:szCs w:val="18"/>
              </w:rPr>
              <w:t>x10</w:t>
            </w:r>
            <w:r w:rsidRPr="001D767C">
              <w:rPr>
                <w:rFonts w:cs="Arial"/>
                <w:color w:val="000000" w:themeColor="text1"/>
                <w:szCs w:val="18"/>
                <w:vertAlign w:val="superscript"/>
              </w:rPr>
              <w:t>-4</w:t>
            </w:r>
          </w:p>
        </w:tc>
        <w:tc>
          <w:tcPr>
            <w:tcW w:w="992" w:type="dxa"/>
            <w:noWrap/>
          </w:tcPr>
          <w:p w14:paraId="45A4A1F0" w14:textId="464C2E64"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2</w:t>
            </w:r>
            <w:r>
              <w:rPr>
                <w:rFonts w:cs="Arial"/>
                <w:color w:val="000000" w:themeColor="text1"/>
                <w:szCs w:val="18"/>
              </w:rPr>
              <w:t>.</w:t>
            </w:r>
            <w:r w:rsidRPr="00DE6952">
              <w:rPr>
                <w:rFonts w:cs="Arial"/>
                <w:color w:val="000000" w:themeColor="text1"/>
                <w:szCs w:val="18"/>
              </w:rPr>
              <w:t>29</w:t>
            </w:r>
            <w:r>
              <w:rPr>
                <w:rFonts w:cs="Arial"/>
                <w:color w:val="000000" w:themeColor="text1"/>
                <w:szCs w:val="18"/>
              </w:rPr>
              <w:t>x10</w:t>
            </w:r>
            <w:r w:rsidRPr="009451CD">
              <w:rPr>
                <w:rFonts w:cs="Arial"/>
                <w:color w:val="000000" w:themeColor="text1"/>
                <w:szCs w:val="18"/>
                <w:vertAlign w:val="superscript"/>
              </w:rPr>
              <w:t>-3</w:t>
            </w:r>
          </w:p>
        </w:tc>
        <w:tc>
          <w:tcPr>
            <w:tcW w:w="1039" w:type="dxa"/>
            <w:noWrap/>
          </w:tcPr>
          <w:p w14:paraId="57E54F90" w14:textId="447668F4"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875AC2">
              <w:rPr>
                <w:rFonts w:cs="Arial"/>
                <w:color w:val="000000" w:themeColor="text1"/>
                <w:szCs w:val="18"/>
              </w:rPr>
              <w:t>0.00x10</w:t>
            </w:r>
            <w:r w:rsidRPr="00875AC2">
              <w:rPr>
                <w:rFonts w:cs="Arial"/>
                <w:color w:val="000000" w:themeColor="text1"/>
                <w:szCs w:val="18"/>
                <w:vertAlign w:val="superscript"/>
              </w:rPr>
              <w:t>0</w:t>
            </w:r>
          </w:p>
        </w:tc>
      </w:tr>
      <w:tr w:rsidR="009451CD" w:rsidRPr="00DE6952" w14:paraId="399A8AF8" w14:textId="77777777" w:rsidTr="002F2222">
        <w:trPr>
          <w:trHeight w:val="188"/>
        </w:trPr>
        <w:tc>
          <w:tcPr>
            <w:cnfStyle w:val="001000000000" w:firstRow="0" w:lastRow="0" w:firstColumn="1" w:lastColumn="0" w:oddVBand="0" w:evenVBand="0" w:oddHBand="0" w:evenHBand="0" w:firstRowFirstColumn="0" w:firstRowLastColumn="0" w:lastRowFirstColumn="0" w:lastRowLastColumn="0"/>
            <w:tcW w:w="1560" w:type="dxa"/>
            <w:noWrap/>
          </w:tcPr>
          <w:p w14:paraId="52550631" w14:textId="77777777" w:rsidR="009451CD" w:rsidRPr="00DE6952" w:rsidRDefault="009451CD" w:rsidP="009451CD">
            <w:pPr>
              <w:pStyle w:val="CETBodytext"/>
              <w:rPr>
                <w:rFonts w:cs="Arial"/>
                <w:color w:val="000000" w:themeColor="text1"/>
                <w:szCs w:val="18"/>
              </w:rPr>
            </w:pPr>
            <w:r w:rsidRPr="00DE6952">
              <w:rPr>
                <w:rFonts w:cs="Arial"/>
                <w:b w:val="0"/>
                <w:bCs w:val="0"/>
                <w:color w:val="000000" w:themeColor="text1"/>
                <w:szCs w:val="18"/>
              </w:rPr>
              <w:t>Pentadecanoic</w:t>
            </w:r>
          </w:p>
        </w:tc>
        <w:tc>
          <w:tcPr>
            <w:tcW w:w="992" w:type="dxa"/>
            <w:noWrap/>
          </w:tcPr>
          <w:p w14:paraId="22DB70F3" w14:textId="315DE295"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2</w:t>
            </w:r>
            <w:r>
              <w:rPr>
                <w:rFonts w:cs="Arial"/>
                <w:color w:val="000000" w:themeColor="text1"/>
                <w:szCs w:val="18"/>
              </w:rPr>
              <w:t>.</w:t>
            </w:r>
            <w:r w:rsidRPr="00DE6952">
              <w:rPr>
                <w:rFonts w:cs="Arial"/>
                <w:color w:val="000000" w:themeColor="text1"/>
                <w:szCs w:val="18"/>
              </w:rPr>
              <w:t>00</w:t>
            </w:r>
            <w:r>
              <w:rPr>
                <w:rFonts w:cs="Arial"/>
                <w:color w:val="000000" w:themeColor="text1"/>
                <w:szCs w:val="18"/>
              </w:rPr>
              <w:t>x10</w:t>
            </w:r>
            <w:r w:rsidRPr="002F2222">
              <w:rPr>
                <w:rFonts w:cs="Arial"/>
                <w:color w:val="000000" w:themeColor="text1"/>
                <w:szCs w:val="18"/>
                <w:vertAlign w:val="superscript"/>
              </w:rPr>
              <w:t>-6</w:t>
            </w:r>
          </w:p>
        </w:tc>
        <w:tc>
          <w:tcPr>
            <w:tcW w:w="992" w:type="dxa"/>
            <w:noWrap/>
          </w:tcPr>
          <w:p w14:paraId="5788EA60" w14:textId="37982893"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B8304F">
              <w:rPr>
                <w:rFonts w:cs="Arial"/>
                <w:color w:val="000000" w:themeColor="text1"/>
                <w:szCs w:val="18"/>
              </w:rPr>
              <w:t>0</w:t>
            </w:r>
            <w:r>
              <w:rPr>
                <w:rFonts w:cs="Arial"/>
                <w:color w:val="000000" w:themeColor="text1"/>
                <w:szCs w:val="18"/>
              </w:rPr>
              <w:t>.</w:t>
            </w:r>
            <w:r w:rsidRPr="00B8304F">
              <w:rPr>
                <w:rFonts w:cs="Arial"/>
                <w:color w:val="000000" w:themeColor="text1"/>
                <w:szCs w:val="18"/>
              </w:rPr>
              <w:t>00x10</w:t>
            </w:r>
            <w:r w:rsidRPr="00B8304F">
              <w:rPr>
                <w:rFonts w:cs="Arial"/>
                <w:color w:val="000000" w:themeColor="text1"/>
                <w:szCs w:val="18"/>
                <w:vertAlign w:val="superscript"/>
              </w:rPr>
              <w:t>0</w:t>
            </w:r>
          </w:p>
        </w:tc>
        <w:tc>
          <w:tcPr>
            <w:tcW w:w="992" w:type="dxa"/>
            <w:noWrap/>
          </w:tcPr>
          <w:p w14:paraId="3A944562" w14:textId="74229C40"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1</w:t>
            </w:r>
            <w:r>
              <w:rPr>
                <w:rFonts w:cs="Arial"/>
                <w:color w:val="000000" w:themeColor="text1"/>
                <w:szCs w:val="18"/>
              </w:rPr>
              <w:t>.</w:t>
            </w:r>
            <w:r w:rsidRPr="00DE6952">
              <w:rPr>
                <w:rFonts w:cs="Arial"/>
                <w:color w:val="000000" w:themeColor="text1"/>
                <w:szCs w:val="18"/>
              </w:rPr>
              <w:t>10</w:t>
            </w:r>
            <w:r>
              <w:rPr>
                <w:rFonts w:cs="Arial"/>
                <w:color w:val="000000" w:themeColor="text1"/>
                <w:szCs w:val="18"/>
              </w:rPr>
              <w:t>x10</w:t>
            </w:r>
            <w:r w:rsidRPr="007F6509">
              <w:rPr>
                <w:rFonts w:cs="Arial"/>
                <w:color w:val="000000" w:themeColor="text1"/>
                <w:szCs w:val="18"/>
                <w:vertAlign w:val="superscript"/>
              </w:rPr>
              <w:t>-4</w:t>
            </w:r>
          </w:p>
        </w:tc>
        <w:tc>
          <w:tcPr>
            <w:tcW w:w="992" w:type="dxa"/>
            <w:noWrap/>
          </w:tcPr>
          <w:p w14:paraId="653698A4" w14:textId="16AC42E6"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1</w:t>
            </w:r>
            <w:r>
              <w:rPr>
                <w:rFonts w:cs="Arial"/>
                <w:color w:val="000000" w:themeColor="text1"/>
                <w:szCs w:val="18"/>
              </w:rPr>
              <w:t>.</w:t>
            </w:r>
            <w:r w:rsidRPr="00DE6952">
              <w:rPr>
                <w:rFonts w:cs="Arial"/>
                <w:color w:val="000000" w:themeColor="text1"/>
                <w:szCs w:val="18"/>
              </w:rPr>
              <w:t>00</w:t>
            </w:r>
            <w:r>
              <w:rPr>
                <w:rFonts w:cs="Arial"/>
                <w:color w:val="000000" w:themeColor="text1"/>
                <w:szCs w:val="18"/>
              </w:rPr>
              <w:t>x10</w:t>
            </w:r>
            <w:r w:rsidRPr="00FE5B69">
              <w:rPr>
                <w:rFonts w:cs="Arial"/>
                <w:color w:val="000000" w:themeColor="text1"/>
                <w:szCs w:val="18"/>
                <w:vertAlign w:val="superscript"/>
              </w:rPr>
              <w:t>-5</w:t>
            </w:r>
          </w:p>
        </w:tc>
        <w:tc>
          <w:tcPr>
            <w:tcW w:w="1068" w:type="dxa"/>
            <w:noWrap/>
          </w:tcPr>
          <w:p w14:paraId="7A8AB5D3" w14:textId="6F4FE560"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1</w:t>
            </w:r>
            <w:r>
              <w:rPr>
                <w:rFonts w:cs="Arial"/>
                <w:color w:val="000000" w:themeColor="text1"/>
                <w:szCs w:val="18"/>
              </w:rPr>
              <w:t>.</w:t>
            </w:r>
            <w:r w:rsidRPr="00DE6952">
              <w:rPr>
                <w:rFonts w:cs="Arial"/>
                <w:color w:val="000000" w:themeColor="text1"/>
                <w:szCs w:val="18"/>
              </w:rPr>
              <w:t>90</w:t>
            </w:r>
            <w:r>
              <w:rPr>
                <w:rFonts w:cs="Arial"/>
                <w:color w:val="000000" w:themeColor="text1"/>
                <w:szCs w:val="18"/>
              </w:rPr>
              <w:t>x10</w:t>
            </w:r>
            <w:r w:rsidRPr="001D767C">
              <w:rPr>
                <w:rFonts w:cs="Arial"/>
                <w:color w:val="000000" w:themeColor="text1"/>
                <w:szCs w:val="18"/>
                <w:vertAlign w:val="superscript"/>
              </w:rPr>
              <w:t>-5</w:t>
            </w:r>
          </w:p>
        </w:tc>
        <w:tc>
          <w:tcPr>
            <w:tcW w:w="992" w:type="dxa"/>
            <w:noWrap/>
          </w:tcPr>
          <w:p w14:paraId="366E4F39" w14:textId="2288C0E6"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2</w:t>
            </w:r>
            <w:r>
              <w:rPr>
                <w:rFonts w:cs="Arial"/>
                <w:color w:val="000000" w:themeColor="text1"/>
                <w:szCs w:val="18"/>
              </w:rPr>
              <w:t>.</w:t>
            </w:r>
            <w:r w:rsidRPr="00DE6952">
              <w:rPr>
                <w:rFonts w:cs="Arial"/>
                <w:color w:val="000000" w:themeColor="text1"/>
                <w:szCs w:val="18"/>
              </w:rPr>
              <w:t>40</w:t>
            </w:r>
            <w:r>
              <w:rPr>
                <w:rFonts w:cs="Arial"/>
                <w:color w:val="000000" w:themeColor="text1"/>
                <w:szCs w:val="18"/>
              </w:rPr>
              <w:t>x10</w:t>
            </w:r>
            <w:r w:rsidRPr="009451CD">
              <w:rPr>
                <w:rFonts w:cs="Arial"/>
                <w:color w:val="000000" w:themeColor="text1"/>
                <w:szCs w:val="18"/>
                <w:vertAlign w:val="superscript"/>
              </w:rPr>
              <w:t>-4</w:t>
            </w:r>
          </w:p>
        </w:tc>
        <w:tc>
          <w:tcPr>
            <w:tcW w:w="1039" w:type="dxa"/>
            <w:noWrap/>
          </w:tcPr>
          <w:p w14:paraId="40E20304" w14:textId="149A155A"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875AC2">
              <w:rPr>
                <w:rFonts w:cs="Arial"/>
                <w:color w:val="000000" w:themeColor="text1"/>
                <w:szCs w:val="18"/>
              </w:rPr>
              <w:t>0.00x10</w:t>
            </w:r>
            <w:r w:rsidRPr="00875AC2">
              <w:rPr>
                <w:rFonts w:cs="Arial"/>
                <w:color w:val="000000" w:themeColor="text1"/>
                <w:szCs w:val="18"/>
                <w:vertAlign w:val="superscript"/>
              </w:rPr>
              <w:t>0</w:t>
            </w:r>
          </w:p>
        </w:tc>
      </w:tr>
      <w:tr w:rsidR="009451CD" w:rsidRPr="00DE6952" w14:paraId="260D13E3" w14:textId="77777777" w:rsidTr="002F2222">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560" w:type="dxa"/>
            <w:noWrap/>
          </w:tcPr>
          <w:p w14:paraId="78D20FC0" w14:textId="77777777" w:rsidR="009451CD" w:rsidRPr="00DE6952" w:rsidRDefault="009451CD" w:rsidP="009451CD">
            <w:pPr>
              <w:pStyle w:val="CETBodytext"/>
              <w:rPr>
                <w:rFonts w:cs="Arial"/>
                <w:color w:val="000000" w:themeColor="text1"/>
                <w:szCs w:val="18"/>
              </w:rPr>
            </w:pPr>
            <w:r w:rsidRPr="00DE6952">
              <w:rPr>
                <w:rFonts w:cs="Arial"/>
                <w:b w:val="0"/>
                <w:bCs w:val="0"/>
                <w:color w:val="000000" w:themeColor="text1"/>
                <w:szCs w:val="18"/>
              </w:rPr>
              <w:t>Palmitic</w:t>
            </w:r>
          </w:p>
        </w:tc>
        <w:tc>
          <w:tcPr>
            <w:tcW w:w="992" w:type="dxa"/>
            <w:noWrap/>
          </w:tcPr>
          <w:p w14:paraId="2DB339C7" w14:textId="5CCB0E35"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4</w:t>
            </w:r>
            <w:r>
              <w:rPr>
                <w:rFonts w:cs="Arial"/>
                <w:color w:val="000000" w:themeColor="text1"/>
                <w:szCs w:val="18"/>
              </w:rPr>
              <w:t>.</w:t>
            </w:r>
            <w:r w:rsidRPr="00DE6952">
              <w:rPr>
                <w:rFonts w:cs="Arial"/>
                <w:color w:val="000000" w:themeColor="text1"/>
                <w:szCs w:val="18"/>
              </w:rPr>
              <w:t>13</w:t>
            </w:r>
            <w:r>
              <w:rPr>
                <w:rFonts w:cs="Arial"/>
                <w:color w:val="000000" w:themeColor="text1"/>
                <w:szCs w:val="18"/>
              </w:rPr>
              <w:t>x10</w:t>
            </w:r>
            <w:r w:rsidRPr="002F2222">
              <w:rPr>
                <w:rFonts w:cs="Arial"/>
                <w:color w:val="000000" w:themeColor="text1"/>
                <w:szCs w:val="18"/>
                <w:vertAlign w:val="superscript"/>
              </w:rPr>
              <w:t>-3</w:t>
            </w:r>
          </w:p>
        </w:tc>
        <w:tc>
          <w:tcPr>
            <w:tcW w:w="992" w:type="dxa"/>
            <w:noWrap/>
          </w:tcPr>
          <w:p w14:paraId="4FBC590A" w14:textId="78246152"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8304F">
              <w:rPr>
                <w:rFonts w:cs="Arial"/>
                <w:color w:val="000000" w:themeColor="text1"/>
                <w:szCs w:val="18"/>
              </w:rPr>
              <w:t>0</w:t>
            </w:r>
            <w:r>
              <w:rPr>
                <w:rFonts w:cs="Arial"/>
                <w:color w:val="000000" w:themeColor="text1"/>
                <w:szCs w:val="18"/>
              </w:rPr>
              <w:t>.</w:t>
            </w:r>
            <w:r w:rsidRPr="00B8304F">
              <w:rPr>
                <w:rFonts w:cs="Arial"/>
                <w:color w:val="000000" w:themeColor="text1"/>
                <w:szCs w:val="18"/>
              </w:rPr>
              <w:t>00x10</w:t>
            </w:r>
            <w:r w:rsidRPr="00B8304F">
              <w:rPr>
                <w:rFonts w:cs="Arial"/>
                <w:color w:val="000000" w:themeColor="text1"/>
                <w:szCs w:val="18"/>
                <w:vertAlign w:val="superscript"/>
              </w:rPr>
              <w:t>0</w:t>
            </w:r>
          </w:p>
        </w:tc>
        <w:tc>
          <w:tcPr>
            <w:tcW w:w="992" w:type="dxa"/>
            <w:noWrap/>
          </w:tcPr>
          <w:p w14:paraId="07B0B4FF" w14:textId="6ED13729"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1</w:t>
            </w:r>
            <w:r>
              <w:rPr>
                <w:rFonts w:cs="Arial"/>
                <w:color w:val="000000" w:themeColor="text1"/>
                <w:szCs w:val="18"/>
              </w:rPr>
              <w:t>.</w:t>
            </w:r>
            <w:r w:rsidRPr="00DE6952">
              <w:rPr>
                <w:rFonts w:cs="Arial"/>
                <w:color w:val="000000" w:themeColor="text1"/>
                <w:szCs w:val="18"/>
              </w:rPr>
              <w:t>87</w:t>
            </w:r>
            <w:r>
              <w:rPr>
                <w:rFonts w:cs="Arial"/>
                <w:color w:val="000000" w:themeColor="text1"/>
                <w:szCs w:val="18"/>
              </w:rPr>
              <w:t>x10</w:t>
            </w:r>
            <w:r w:rsidRPr="007F6509">
              <w:rPr>
                <w:rFonts w:cs="Arial"/>
                <w:color w:val="000000" w:themeColor="text1"/>
                <w:szCs w:val="18"/>
                <w:vertAlign w:val="superscript"/>
              </w:rPr>
              <w:t>-1</w:t>
            </w:r>
          </w:p>
        </w:tc>
        <w:tc>
          <w:tcPr>
            <w:tcW w:w="992" w:type="dxa"/>
            <w:noWrap/>
          </w:tcPr>
          <w:p w14:paraId="211C3E61" w14:textId="698F1D50"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3</w:t>
            </w:r>
            <w:r>
              <w:rPr>
                <w:rFonts w:cs="Arial"/>
                <w:color w:val="000000" w:themeColor="text1"/>
                <w:szCs w:val="18"/>
              </w:rPr>
              <w:t>.</w:t>
            </w:r>
            <w:r w:rsidRPr="00DE6952">
              <w:rPr>
                <w:rFonts w:cs="Arial"/>
                <w:color w:val="000000" w:themeColor="text1"/>
                <w:szCs w:val="18"/>
              </w:rPr>
              <w:t>08</w:t>
            </w:r>
            <w:r>
              <w:rPr>
                <w:rFonts w:cs="Arial"/>
                <w:color w:val="000000" w:themeColor="text1"/>
                <w:szCs w:val="18"/>
              </w:rPr>
              <w:t>x10</w:t>
            </w:r>
            <w:r w:rsidRPr="00FE5B69">
              <w:rPr>
                <w:rFonts w:cs="Arial"/>
                <w:color w:val="000000" w:themeColor="text1"/>
                <w:szCs w:val="18"/>
                <w:vertAlign w:val="superscript"/>
              </w:rPr>
              <w:t>-2</w:t>
            </w:r>
          </w:p>
        </w:tc>
        <w:tc>
          <w:tcPr>
            <w:tcW w:w="1068" w:type="dxa"/>
            <w:noWrap/>
          </w:tcPr>
          <w:p w14:paraId="5391DB5D" w14:textId="671F8278"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3</w:t>
            </w:r>
            <w:r>
              <w:rPr>
                <w:rFonts w:cs="Arial"/>
                <w:color w:val="000000" w:themeColor="text1"/>
                <w:szCs w:val="18"/>
              </w:rPr>
              <w:t>.</w:t>
            </w:r>
            <w:r w:rsidRPr="00DE6952">
              <w:rPr>
                <w:rFonts w:cs="Arial"/>
                <w:color w:val="000000" w:themeColor="text1"/>
                <w:szCs w:val="18"/>
              </w:rPr>
              <w:t>23</w:t>
            </w:r>
            <w:r>
              <w:rPr>
                <w:rFonts w:cs="Arial"/>
                <w:color w:val="000000" w:themeColor="text1"/>
                <w:szCs w:val="18"/>
              </w:rPr>
              <w:t>x10</w:t>
            </w:r>
            <w:r w:rsidRPr="001D767C">
              <w:rPr>
                <w:rFonts w:cs="Arial"/>
                <w:color w:val="000000" w:themeColor="text1"/>
                <w:szCs w:val="18"/>
                <w:vertAlign w:val="superscript"/>
              </w:rPr>
              <w:t>-2</w:t>
            </w:r>
          </w:p>
        </w:tc>
        <w:tc>
          <w:tcPr>
            <w:tcW w:w="992" w:type="dxa"/>
            <w:noWrap/>
          </w:tcPr>
          <w:p w14:paraId="1D996D9B" w14:textId="3ED6C627"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3</w:t>
            </w:r>
            <w:r>
              <w:rPr>
                <w:rFonts w:cs="Arial"/>
                <w:color w:val="000000" w:themeColor="text1"/>
                <w:szCs w:val="18"/>
              </w:rPr>
              <w:t>.</w:t>
            </w:r>
            <w:r w:rsidRPr="00DE6952">
              <w:rPr>
                <w:rFonts w:cs="Arial"/>
                <w:color w:val="000000" w:themeColor="text1"/>
                <w:szCs w:val="18"/>
              </w:rPr>
              <w:t>98</w:t>
            </w:r>
            <w:r>
              <w:rPr>
                <w:rFonts w:cs="Arial"/>
                <w:color w:val="000000" w:themeColor="text1"/>
                <w:szCs w:val="18"/>
              </w:rPr>
              <w:t>x10</w:t>
            </w:r>
            <w:r w:rsidRPr="009451CD">
              <w:rPr>
                <w:rFonts w:cs="Arial"/>
                <w:color w:val="000000" w:themeColor="text1"/>
                <w:szCs w:val="18"/>
                <w:vertAlign w:val="superscript"/>
              </w:rPr>
              <w:t>-1</w:t>
            </w:r>
          </w:p>
        </w:tc>
        <w:tc>
          <w:tcPr>
            <w:tcW w:w="1039" w:type="dxa"/>
            <w:noWrap/>
          </w:tcPr>
          <w:p w14:paraId="220E9F96" w14:textId="70E1AEC4"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875AC2">
              <w:rPr>
                <w:rFonts w:cs="Arial"/>
                <w:color w:val="000000" w:themeColor="text1"/>
                <w:szCs w:val="18"/>
              </w:rPr>
              <w:t>0.00x10</w:t>
            </w:r>
            <w:r w:rsidRPr="00875AC2">
              <w:rPr>
                <w:rFonts w:cs="Arial"/>
                <w:color w:val="000000" w:themeColor="text1"/>
                <w:szCs w:val="18"/>
                <w:vertAlign w:val="superscript"/>
              </w:rPr>
              <w:t>0</w:t>
            </w:r>
          </w:p>
        </w:tc>
      </w:tr>
      <w:tr w:rsidR="009451CD" w:rsidRPr="00DE6952" w14:paraId="0AE64AAF" w14:textId="77777777" w:rsidTr="002F2222">
        <w:trPr>
          <w:trHeight w:val="188"/>
        </w:trPr>
        <w:tc>
          <w:tcPr>
            <w:cnfStyle w:val="001000000000" w:firstRow="0" w:lastRow="0" w:firstColumn="1" w:lastColumn="0" w:oddVBand="0" w:evenVBand="0" w:oddHBand="0" w:evenHBand="0" w:firstRowFirstColumn="0" w:firstRowLastColumn="0" w:lastRowFirstColumn="0" w:lastRowLastColumn="0"/>
            <w:tcW w:w="1560" w:type="dxa"/>
            <w:noWrap/>
          </w:tcPr>
          <w:p w14:paraId="5EC0AF80" w14:textId="77777777" w:rsidR="009451CD" w:rsidRPr="00DE6952" w:rsidRDefault="009451CD" w:rsidP="009451CD">
            <w:pPr>
              <w:pStyle w:val="CETBodytext"/>
              <w:rPr>
                <w:rFonts w:cs="Arial"/>
                <w:color w:val="000000" w:themeColor="text1"/>
                <w:szCs w:val="18"/>
              </w:rPr>
            </w:pPr>
            <w:r w:rsidRPr="00DE6952">
              <w:rPr>
                <w:rFonts w:cs="Arial"/>
                <w:b w:val="0"/>
                <w:bCs w:val="0"/>
                <w:color w:val="000000" w:themeColor="text1"/>
                <w:szCs w:val="18"/>
              </w:rPr>
              <w:t>Heptadecanoic</w:t>
            </w:r>
          </w:p>
        </w:tc>
        <w:tc>
          <w:tcPr>
            <w:tcW w:w="992" w:type="dxa"/>
            <w:noWrap/>
          </w:tcPr>
          <w:p w14:paraId="211998A5" w14:textId="42D9B579"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4</w:t>
            </w:r>
            <w:r>
              <w:rPr>
                <w:rFonts w:cs="Arial"/>
                <w:color w:val="000000" w:themeColor="text1"/>
                <w:szCs w:val="18"/>
              </w:rPr>
              <w:t>.</w:t>
            </w:r>
            <w:r w:rsidRPr="00DE6952">
              <w:rPr>
                <w:rFonts w:cs="Arial"/>
                <w:color w:val="000000" w:themeColor="text1"/>
                <w:szCs w:val="18"/>
              </w:rPr>
              <w:t>00</w:t>
            </w:r>
            <w:r>
              <w:rPr>
                <w:rFonts w:cs="Arial"/>
                <w:color w:val="000000" w:themeColor="text1"/>
                <w:szCs w:val="18"/>
              </w:rPr>
              <w:t>x10</w:t>
            </w:r>
            <w:r w:rsidRPr="002F2222">
              <w:rPr>
                <w:rFonts w:cs="Arial"/>
                <w:color w:val="000000" w:themeColor="text1"/>
                <w:szCs w:val="18"/>
                <w:vertAlign w:val="superscript"/>
              </w:rPr>
              <w:t>-6</w:t>
            </w:r>
          </w:p>
        </w:tc>
        <w:tc>
          <w:tcPr>
            <w:tcW w:w="992" w:type="dxa"/>
            <w:noWrap/>
          </w:tcPr>
          <w:p w14:paraId="6E01AEEE" w14:textId="43F2699C"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B8304F">
              <w:rPr>
                <w:rFonts w:cs="Arial"/>
                <w:color w:val="000000" w:themeColor="text1"/>
                <w:szCs w:val="18"/>
              </w:rPr>
              <w:t>0</w:t>
            </w:r>
            <w:r>
              <w:rPr>
                <w:rFonts w:cs="Arial"/>
                <w:color w:val="000000" w:themeColor="text1"/>
                <w:szCs w:val="18"/>
              </w:rPr>
              <w:t>.</w:t>
            </w:r>
            <w:r w:rsidRPr="00B8304F">
              <w:rPr>
                <w:rFonts w:cs="Arial"/>
                <w:color w:val="000000" w:themeColor="text1"/>
                <w:szCs w:val="18"/>
              </w:rPr>
              <w:t>00x10</w:t>
            </w:r>
            <w:r w:rsidRPr="00B8304F">
              <w:rPr>
                <w:rFonts w:cs="Arial"/>
                <w:color w:val="000000" w:themeColor="text1"/>
                <w:szCs w:val="18"/>
                <w:vertAlign w:val="superscript"/>
              </w:rPr>
              <w:t>0</w:t>
            </w:r>
          </w:p>
        </w:tc>
        <w:tc>
          <w:tcPr>
            <w:tcW w:w="992" w:type="dxa"/>
            <w:noWrap/>
          </w:tcPr>
          <w:p w14:paraId="51A0DB1E" w14:textId="6B3E2018"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2</w:t>
            </w:r>
            <w:r>
              <w:rPr>
                <w:rFonts w:cs="Arial"/>
                <w:color w:val="000000" w:themeColor="text1"/>
                <w:szCs w:val="18"/>
              </w:rPr>
              <w:t>.</w:t>
            </w:r>
            <w:r w:rsidRPr="00DE6952">
              <w:rPr>
                <w:rFonts w:cs="Arial"/>
                <w:color w:val="000000" w:themeColor="text1"/>
                <w:szCs w:val="18"/>
              </w:rPr>
              <w:t>00</w:t>
            </w:r>
            <w:r>
              <w:rPr>
                <w:rFonts w:cs="Arial"/>
                <w:color w:val="000000" w:themeColor="text1"/>
                <w:szCs w:val="18"/>
              </w:rPr>
              <w:t>x10</w:t>
            </w:r>
            <w:r w:rsidRPr="007F6509">
              <w:rPr>
                <w:rFonts w:cs="Arial"/>
                <w:color w:val="000000" w:themeColor="text1"/>
                <w:szCs w:val="18"/>
                <w:vertAlign w:val="superscript"/>
              </w:rPr>
              <w:t>-4</w:t>
            </w:r>
          </w:p>
        </w:tc>
        <w:tc>
          <w:tcPr>
            <w:tcW w:w="992" w:type="dxa"/>
            <w:noWrap/>
          </w:tcPr>
          <w:p w14:paraId="2302F514" w14:textId="326462E6"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3</w:t>
            </w:r>
            <w:r>
              <w:rPr>
                <w:rFonts w:cs="Arial"/>
                <w:color w:val="000000" w:themeColor="text1"/>
                <w:szCs w:val="18"/>
              </w:rPr>
              <w:t>.</w:t>
            </w:r>
            <w:r w:rsidRPr="00DE6952">
              <w:rPr>
                <w:rFonts w:cs="Arial"/>
                <w:color w:val="000000" w:themeColor="text1"/>
                <w:szCs w:val="18"/>
              </w:rPr>
              <w:t>00</w:t>
            </w:r>
            <w:r>
              <w:rPr>
                <w:rFonts w:cs="Arial"/>
                <w:color w:val="000000" w:themeColor="text1"/>
                <w:szCs w:val="18"/>
              </w:rPr>
              <w:t>x10</w:t>
            </w:r>
            <w:r w:rsidRPr="00FE5B69">
              <w:rPr>
                <w:rFonts w:cs="Arial"/>
                <w:color w:val="000000" w:themeColor="text1"/>
                <w:szCs w:val="18"/>
                <w:vertAlign w:val="superscript"/>
              </w:rPr>
              <w:t>-5</w:t>
            </w:r>
          </w:p>
        </w:tc>
        <w:tc>
          <w:tcPr>
            <w:tcW w:w="1068" w:type="dxa"/>
            <w:noWrap/>
          </w:tcPr>
          <w:p w14:paraId="4380B850" w14:textId="3EDD1354"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3</w:t>
            </w:r>
            <w:r>
              <w:rPr>
                <w:rFonts w:cs="Arial"/>
                <w:color w:val="000000" w:themeColor="text1"/>
                <w:szCs w:val="18"/>
              </w:rPr>
              <w:t>.</w:t>
            </w:r>
            <w:r w:rsidRPr="00DE6952">
              <w:rPr>
                <w:rFonts w:cs="Arial"/>
                <w:color w:val="000000" w:themeColor="text1"/>
                <w:szCs w:val="18"/>
              </w:rPr>
              <w:t>50</w:t>
            </w:r>
            <w:r>
              <w:rPr>
                <w:rFonts w:cs="Arial"/>
                <w:color w:val="000000" w:themeColor="text1"/>
                <w:szCs w:val="18"/>
              </w:rPr>
              <w:t>x10</w:t>
            </w:r>
            <w:r w:rsidRPr="001D767C">
              <w:rPr>
                <w:rFonts w:cs="Arial"/>
                <w:color w:val="000000" w:themeColor="text1"/>
                <w:szCs w:val="18"/>
                <w:vertAlign w:val="superscript"/>
              </w:rPr>
              <w:t>-5</w:t>
            </w:r>
          </w:p>
        </w:tc>
        <w:tc>
          <w:tcPr>
            <w:tcW w:w="992" w:type="dxa"/>
            <w:noWrap/>
          </w:tcPr>
          <w:p w14:paraId="3C2BA9CF" w14:textId="10E639DB"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4</w:t>
            </w:r>
            <w:r>
              <w:rPr>
                <w:rFonts w:cs="Arial"/>
                <w:color w:val="000000" w:themeColor="text1"/>
                <w:szCs w:val="18"/>
              </w:rPr>
              <w:t>.</w:t>
            </w:r>
            <w:r w:rsidRPr="00DE6952">
              <w:rPr>
                <w:rFonts w:cs="Arial"/>
                <w:color w:val="000000" w:themeColor="text1"/>
                <w:szCs w:val="18"/>
              </w:rPr>
              <w:t>30</w:t>
            </w:r>
            <w:r>
              <w:rPr>
                <w:rFonts w:cs="Arial"/>
                <w:color w:val="000000" w:themeColor="text1"/>
                <w:szCs w:val="18"/>
              </w:rPr>
              <w:t>x10</w:t>
            </w:r>
            <w:r w:rsidRPr="009451CD">
              <w:rPr>
                <w:rFonts w:cs="Arial"/>
                <w:color w:val="000000" w:themeColor="text1"/>
                <w:szCs w:val="18"/>
                <w:vertAlign w:val="superscript"/>
              </w:rPr>
              <w:t>-4</w:t>
            </w:r>
          </w:p>
        </w:tc>
        <w:tc>
          <w:tcPr>
            <w:tcW w:w="1039" w:type="dxa"/>
            <w:noWrap/>
          </w:tcPr>
          <w:p w14:paraId="721E2E62" w14:textId="5106ADC6"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875AC2">
              <w:rPr>
                <w:rFonts w:cs="Arial"/>
                <w:color w:val="000000" w:themeColor="text1"/>
                <w:szCs w:val="18"/>
              </w:rPr>
              <w:t>0.00x10</w:t>
            </w:r>
            <w:r w:rsidRPr="00875AC2">
              <w:rPr>
                <w:rFonts w:cs="Arial"/>
                <w:color w:val="000000" w:themeColor="text1"/>
                <w:szCs w:val="18"/>
                <w:vertAlign w:val="superscript"/>
              </w:rPr>
              <w:t>0</w:t>
            </w:r>
          </w:p>
        </w:tc>
      </w:tr>
      <w:tr w:rsidR="009451CD" w:rsidRPr="00DE6952" w14:paraId="48F81BF6" w14:textId="77777777" w:rsidTr="002F2222">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560" w:type="dxa"/>
            <w:noWrap/>
          </w:tcPr>
          <w:p w14:paraId="3FCBD066" w14:textId="77777777" w:rsidR="009451CD" w:rsidRPr="00DE6952" w:rsidRDefault="009451CD" w:rsidP="009451CD">
            <w:pPr>
              <w:pStyle w:val="CETBodytext"/>
              <w:rPr>
                <w:rFonts w:cs="Arial"/>
                <w:color w:val="000000" w:themeColor="text1"/>
                <w:szCs w:val="18"/>
              </w:rPr>
            </w:pPr>
            <w:r w:rsidRPr="00DE6952">
              <w:rPr>
                <w:rFonts w:cs="Arial"/>
                <w:b w:val="0"/>
                <w:bCs w:val="0"/>
                <w:color w:val="000000" w:themeColor="text1"/>
                <w:szCs w:val="18"/>
              </w:rPr>
              <w:t>Stearic</w:t>
            </w:r>
          </w:p>
        </w:tc>
        <w:tc>
          <w:tcPr>
            <w:tcW w:w="992" w:type="dxa"/>
            <w:noWrap/>
          </w:tcPr>
          <w:p w14:paraId="0906B512" w14:textId="4E814F56"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1</w:t>
            </w:r>
            <w:r>
              <w:rPr>
                <w:rFonts w:cs="Arial"/>
                <w:color w:val="000000" w:themeColor="text1"/>
                <w:szCs w:val="18"/>
              </w:rPr>
              <w:t>.</w:t>
            </w:r>
            <w:r w:rsidRPr="00DE6952">
              <w:rPr>
                <w:rFonts w:cs="Arial"/>
                <w:color w:val="000000" w:themeColor="text1"/>
                <w:szCs w:val="18"/>
              </w:rPr>
              <w:t>17</w:t>
            </w:r>
            <w:r>
              <w:rPr>
                <w:rFonts w:cs="Arial"/>
                <w:color w:val="000000" w:themeColor="text1"/>
                <w:szCs w:val="18"/>
              </w:rPr>
              <w:t>x10</w:t>
            </w:r>
            <w:r w:rsidRPr="002F2222">
              <w:rPr>
                <w:rFonts w:cs="Arial"/>
                <w:color w:val="000000" w:themeColor="text1"/>
                <w:szCs w:val="18"/>
                <w:vertAlign w:val="superscript"/>
              </w:rPr>
              <w:t>-4</w:t>
            </w:r>
          </w:p>
        </w:tc>
        <w:tc>
          <w:tcPr>
            <w:tcW w:w="992" w:type="dxa"/>
            <w:noWrap/>
          </w:tcPr>
          <w:p w14:paraId="615D291C" w14:textId="7E29A87E"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8304F">
              <w:rPr>
                <w:rFonts w:cs="Arial"/>
                <w:color w:val="000000" w:themeColor="text1"/>
                <w:szCs w:val="18"/>
              </w:rPr>
              <w:t>0</w:t>
            </w:r>
            <w:r>
              <w:rPr>
                <w:rFonts w:cs="Arial"/>
                <w:color w:val="000000" w:themeColor="text1"/>
                <w:szCs w:val="18"/>
              </w:rPr>
              <w:t>.</w:t>
            </w:r>
            <w:r w:rsidRPr="00B8304F">
              <w:rPr>
                <w:rFonts w:cs="Arial"/>
                <w:color w:val="000000" w:themeColor="text1"/>
                <w:szCs w:val="18"/>
              </w:rPr>
              <w:t>00x10</w:t>
            </w:r>
            <w:r w:rsidRPr="00B8304F">
              <w:rPr>
                <w:rFonts w:cs="Arial"/>
                <w:color w:val="000000" w:themeColor="text1"/>
                <w:szCs w:val="18"/>
                <w:vertAlign w:val="superscript"/>
              </w:rPr>
              <w:t>0</w:t>
            </w:r>
          </w:p>
        </w:tc>
        <w:tc>
          <w:tcPr>
            <w:tcW w:w="992" w:type="dxa"/>
            <w:noWrap/>
          </w:tcPr>
          <w:p w14:paraId="4DFF1281" w14:textId="496230D4"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5</w:t>
            </w:r>
            <w:r>
              <w:rPr>
                <w:rFonts w:cs="Arial"/>
                <w:color w:val="000000" w:themeColor="text1"/>
                <w:szCs w:val="18"/>
              </w:rPr>
              <w:t>.</w:t>
            </w:r>
            <w:r w:rsidRPr="00DE6952">
              <w:rPr>
                <w:rFonts w:cs="Arial"/>
                <w:color w:val="000000" w:themeColor="text1"/>
                <w:szCs w:val="18"/>
              </w:rPr>
              <w:t>27</w:t>
            </w:r>
            <w:r>
              <w:rPr>
                <w:rFonts w:cs="Arial"/>
                <w:color w:val="000000" w:themeColor="text1"/>
                <w:szCs w:val="18"/>
              </w:rPr>
              <w:t>x10</w:t>
            </w:r>
            <w:r w:rsidRPr="007F6509">
              <w:rPr>
                <w:rFonts w:cs="Arial"/>
                <w:color w:val="000000" w:themeColor="text1"/>
                <w:szCs w:val="18"/>
                <w:vertAlign w:val="superscript"/>
              </w:rPr>
              <w:t>-3</w:t>
            </w:r>
          </w:p>
        </w:tc>
        <w:tc>
          <w:tcPr>
            <w:tcW w:w="992" w:type="dxa"/>
            <w:noWrap/>
          </w:tcPr>
          <w:p w14:paraId="4D75B7F4" w14:textId="5032ED6B"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8</w:t>
            </w:r>
            <w:r>
              <w:rPr>
                <w:rFonts w:cs="Arial"/>
                <w:color w:val="000000" w:themeColor="text1"/>
                <w:szCs w:val="18"/>
              </w:rPr>
              <w:t>.</w:t>
            </w:r>
            <w:r w:rsidRPr="00DE6952">
              <w:rPr>
                <w:rFonts w:cs="Arial"/>
                <w:color w:val="000000" w:themeColor="text1"/>
                <w:szCs w:val="18"/>
              </w:rPr>
              <w:t>60</w:t>
            </w:r>
            <w:r>
              <w:rPr>
                <w:rFonts w:cs="Arial"/>
                <w:color w:val="000000" w:themeColor="text1"/>
                <w:szCs w:val="18"/>
              </w:rPr>
              <w:t>x10</w:t>
            </w:r>
            <w:r w:rsidRPr="00FE5B69">
              <w:rPr>
                <w:rFonts w:cs="Arial"/>
                <w:color w:val="000000" w:themeColor="text1"/>
                <w:szCs w:val="18"/>
                <w:vertAlign w:val="superscript"/>
              </w:rPr>
              <w:t>-4</w:t>
            </w:r>
          </w:p>
        </w:tc>
        <w:tc>
          <w:tcPr>
            <w:tcW w:w="1068" w:type="dxa"/>
            <w:noWrap/>
          </w:tcPr>
          <w:p w14:paraId="381EE45B" w14:textId="423B6045"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9</w:t>
            </w:r>
            <w:r>
              <w:rPr>
                <w:rFonts w:cs="Arial"/>
                <w:color w:val="000000" w:themeColor="text1"/>
                <w:szCs w:val="18"/>
              </w:rPr>
              <w:t>.</w:t>
            </w:r>
            <w:r w:rsidRPr="00DE6952">
              <w:rPr>
                <w:rFonts w:cs="Arial"/>
                <w:color w:val="000000" w:themeColor="text1"/>
                <w:szCs w:val="18"/>
              </w:rPr>
              <w:t>14</w:t>
            </w:r>
            <w:r>
              <w:rPr>
                <w:rFonts w:cs="Arial"/>
                <w:color w:val="000000" w:themeColor="text1"/>
                <w:szCs w:val="18"/>
              </w:rPr>
              <w:t>x10</w:t>
            </w:r>
            <w:r w:rsidRPr="001D767C">
              <w:rPr>
                <w:rFonts w:cs="Arial"/>
                <w:color w:val="000000" w:themeColor="text1"/>
                <w:szCs w:val="18"/>
                <w:vertAlign w:val="superscript"/>
              </w:rPr>
              <w:t>-4</w:t>
            </w:r>
          </w:p>
        </w:tc>
        <w:tc>
          <w:tcPr>
            <w:tcW w:w="992" w:type="dxa"/>
            <w:noWrap/>
          </w:tcPr>
          <w:p w14:paraId="142B534C" w14:textId="54D64E8F"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1</w:t>
            </w:r>
            <w:r>
              <w:rPr>
                <w:rFonts w:cs="Arial"/>
                <w:color w:val="000000" w:themeColor="text1"/>
                <w:szCs w:val="18"/>
              </w:rPr>
              <w:t>.</w:t>
            </w:r>
            <w:r w:rsidRPr="00DE6952">
              <w:rPr>
                <w:rFonts w:cs="Arial"/>
                <w:color w:val="000000" w:themeColor="text1"/>
                <w:szCs w:val="18"/>
              </w:rPr>
              <w:t>12</w:t>
            </w:r>
            <w:r>
              <w:rPr>
                <w:rFonts w:cs="Arial"/>
                <w:color w:val="000000" w:themeColor="text1"/>
                <w:szCs w:val="18"/>
              </w:rPr>
              <w:t>x10</w:t>
            </w:r>
            <w:r w:rsidRPr="009451CD">
              <w:rPr>
                <w:rFonts w:cs="Arial"/>
                <w:color w:val="000000" w:themeColor="text1"/>
                <w:szCs w:val="18"/>
                <w:vertAlign w:val="superscript"/>
              </w:rPr>
              <w:t>-2</w:t>
            </w:r>
          </w:p>
        </w:tc>
        <w:tc>
          <w:tcPr>
            <w:tcW w:w="1039" w:type="dxa"/>
            <w:noWrap/>
          </w:tcPr>
          <w:p w14:paraId="5D275516" w14:textId="68EF9620"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875AC2">
              <w:rPr>
                <w:rFonts w:cs="Arial"/>
                <w:color w:val="000000" w:themeColor="text1"/>
                <w:szCs w:val="18"/>
              </w:rPr>
              <w:t>0.00x10</w:t>
            </w:r>
            <w:r w:rsidRPr="00875AC2">
              <w:rPr>
                <w:rFonts w:cs="Arial"/>
                <w:color w:val="000000" w:themeColor="text1"/>
                <w:szCs w:val="18"/>
                <w:vertAlign w:val="superscript"/>
              </w:rPr>
              <w:t>0</w:t>
            </w:r>
          </w:p>
        </w:tc>
      </w:tr>
      <w:tr w:rsidR="009451CD" w:rsidRPr="00DE6952" w14:paraId="1D0FCDB3" w14:textId="77777777" w:rsidTr="002F2222">
        <w:trPr>
          <w:trHeight w:val="188"/>
        </w:trPr>
        <w:tc>
          <w:tcPr>
            <w:cnfStyle w:val="001000000000" w:firstRow="0" w:lastRow="0" w:firstColumn="1" w:lastColumn="0" w:oddVBand="0" w:evenVBand="0" w:oddHBand="0" w:evenHBand="0" w:firstRowFirstColumn="0" w:firstRowLastColumn="0" w:lastRowFirstColumn="0" w:lastRowLastColumn="0"/>
            <w:tcW w:w="1560" w:type="dxa"/>
            <w:noWrap/>
          </w:tcPr>
          <w:p w14:paraId="71558694" w14:textId="77777777" w:rsidR="009451CD" w:rsidRPr="00DE6952" w:rsidRDefault="009451CD" w:rsidP="009451CD">
            <w:pPr>
              <w:pStyle w:val="CETBodytext"/>
              <w:rPr>
                <w:rFonts w:cs="Arial"/>
                <w:color w:val="000000" w:themeColor="text1"/>
                <w:szCs w:val="18"/>
              </w:rPr>
            </w:pPr>
            <w:r w:rsidRPr="00DE6952">
              <w:rPr>
                <w:rFonts w:cs="Arial"/>
                <w:b w:val="0"/>
                <w:bCs w:val="0"/>
                <w:color w:val="000000" w:themeColor="text1"/>
                <w:szCs w:val="18"/>
              </w:rPr>
              <w:t>Oleic</w:t>
            </w:r>
          </w:p>
        </w:tc>
        <w:tc>
          <w:tcPr>
            <w:tcW w:w="992" w:type="dxa"/>
            <w:noWrap/>
          </w:tcPr>
          <w:p w14:paraId="7918D047" w14:textId="5276DA1C"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4</w:t>
            </w:r>
            <w:r>
              <w:rPr>
                <w:rFonts w:cs="Arial"/>
                <w:color w:val="000000" w:themeColor="text1"/>
                <w:szCs w:val="18"/>
              </w:rPr>
              <w:t>.</w:t>
            </w:r>
            <w:r w:rsidRPr="00DE6952">
              <w:rPr>
                <w:rFonts w:cs="Arial"/>
                <w:color w:val="000000" w:themeColor="text1"/>
                <w:szCs w:val="18"/>
              </w:rPr>
              <w:t>16</w:t>
            </w:r>
            <w:r>
              <w:rPr>
                <w:rFonts w:cs="Arial"/>
                <w:color w:val="000000" w:themeColor="text1"/>
                <w:szCs w:val="18"/>
              </w:rPr>
              <w:t>x10</w:t>
            </w:r>
            <w:r w:rsidRPr="008B4121">
              <w:rPr>
                <w:rFonts w:cs="Arial"/>
                <w:color w:val="000000" w:themeColor="text1"/>
                <w:szCs w:val="18"/>
                <w:vertAlign w:val="superscript"/>
              </w:rPr>
              <w:t>-3</w:t>
            </w:r>
          </w:p>
        </w:tc>
        <w:tc>
          <w:tcPr>
            <w:tcW w:w="992" w:type="dxa"/>
            <w:noWrap/>
          </w:tcPr>
          <w:p w14:paraId="47FB1F04" w14:textId="59B04491"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2</w:t>
            </w:r>
            <w:r>
              <w:rPr>
                <w:rFonts w:cs="Arial"/>
                <w:color w:val="000000" w:themeColor="text1"/>
                <w:szCs w:val="18"/>
              </w:rPr>
              <w:t>.</w:t>
            </w:r>
            <w:r w:rsidRPr="00DE6952">
              <w:rPr>
                <w:rFonts w:cs="Arial"/>
                <w:color w:val="000000" w:themeColor="text1"/>
                <w:szCs w:val="18"/>
              </w:rPr>
              <w:t>19</w:t>
            </w:r>
            <w:r>
              <w:rPr>
                <w:rFonts w:cs="Arial"/>
                <w:color w:val="000000" w:themeColor="text1"/>
                <w:szCs w:val="18"/>
              </w:rPr>
              <w:t>x10</w:t>
            </w:r>
            <w:r w:rsidRPr="005C5D99">
              <w:rPr>
                <w:rFonts w:cs="Arial"/>
                <w:color w:val="000000" w:themeColor="text1"/>
                <w:szCs w:val="18"/>
                <w:vertAlign w:val="superscript"/>
              </w:rPr>
              <w:t>-3</w:t>
            </w:r>
          </w:p>
        </w:tc>
        <w:tc>
          <w:tcPr>
            <w:tcW w:w="992" w:type="dxa"/>
            <w:noWrap/>
          </w:tcPr>
          <w:p w14:paraId="07E1B399" w14:textId="56F81572"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1</w:t>
            </w:r>
            <w:r>
              <w:rPr>
                <w:rFonts w:cs="Arial"/>
                <w:color w:val="000000" w:themeColor="text1"/>
                <w:szCs w:val="18"/>
              </w:rPr>
              <w:t>.</w:t>
            </w:r>
            <w:r w:rsidRPr="00DE6952">
              <w:rPr>
                <w:rFonts w:cs="Arial"/>
                <w:color w:val="000000" w:themeColor="text1"/>
                <w:szCs w:val="18"/>
              </w:rPr>
              <w:t>60</w:t>
            </w:r>
            <w:r>
              <w:rPr>
                <w:rFonts w:cs="Arial"/>
                <w:color w:val="000000" w:themeColor="text1"/>
                <w:szCs w:val="18"/>
              </w:rPr>
              <w:t>x10</w:t>
            </w:r>
            <w:r w:rsidRPr="007F6509">
              <w:rPr>
                <w:rFonts w:cs="Arial"/>
                <w:color w:val="000000" w:themeColor="text1"/>
                <w:szCs w:val="18"/>
                <w:vertAlign w:val="superscript"/>
              </w:rPr>
              <w:t>-1</w:t>
            </w:r>
          </w:p>
        </w:tc>
        <w:tc>
          <w:tcPr>
            <w:tcW w:w="992" w:type="dxa"/>
            <w:noWrap/>
          </w:tcPr>
          <w:p w14:paraId="78B3B192" w14:textId="4CCAEFDF"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2</w:t>
            </w:r>
            <w:r>
              <w:rPr>
                <w:rFonts w:cs="Arial"/>
                <w:color w:val="000000" w:themeColor="text1"/>
                <w:szCs w:val="18"/>
              </w:rPr>
              <w:t>.</w:t>
            </w:r>
            <w:r w:rsidRPr="00DE6952">
              <w:rPr>
                <w:rFonts w:cs="Arial"/>
                <w:color w:val="000000" w:themeColor="text1"/>
                <w:szCs w:val="18"/>
              </w:rPr>
              <w:t>64</w:t>
            </w:r>
            <w:r>
              <w:rPr>
                <w:rFonts w:cs="Arial"/>
                <w:color w:val="000000" w:themeColor="text1"/>
                <w:szCs w:val="18"/>
              </w:rPr>
              <w:t>x10</w:t>
            </w:r>
            <w:r w:rsidRPr="00FE5B69">
              <w:rPr>
                <w:rFonts w:cs="Arial"/>
                <w:color w:val="000000" w:themeColor="text1"/>
                <w:szCs w:val="18"/>
                <w:vertAlign w:val="superscript"/>
              </w:rPr>
              <w:t>-2</w:t>
            </w:r>
          </w:p>
        </w:tc>
        <w:tc>
          <w:tcPr>
            <w:tcW w:w="1068" w:type="dxa"/>
            <w:noWrap/>
          </w:tcPr>
          <w:p w14:paraId="20B028B3" w14:textId="7AE92056"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2</w:t>
            </w:r>
            <w:r>
              <w:rPr>
                <w:rFonts w:cs="Arial"/>
                <w:color w:val="000000" w:themeColor="text1"/>
                <w:szCs w:val="18"/>
              </w:rPr>
              <w:t>.</w:t>
            </w:r>
            <w:r w:rsidRPr="00DE6952">
              <w:rPr>
                <w:rFonts w:cs="Arial"/>
                <w:color w:val="000000" w:themeColor="text1"/>
                <w:szCs w:val="18"/>
              </w:rPr>
              <w:t>77</w:t>
            </w:r>
            <w:r>
              <w:rPr>
                <w:rFonts w:cs="Arial"/>
                <w:color w:val="000000" w:themeColor="text1"/>
                <w:szCs w:val="18"/>
              </w:rPr>
              <w:t>x10</w:t>
            </w:r>
            <w:r w:rsidRPr="001D767C">
              <w:rPr>
                <w:rFonts w:cs="Arial"/>
                <w:color w:val="000000" w:themeColor="text1"/>
                <w:szCs w:val="18"/>
                <w:vertAlign w:val="superscript"/>
              </w:rPr>
              <w:t>-2</w:t>
            </w:r>
          </w:p>
        </w:tc>
        <w:tc>
          <w:tcPr>
            <w:tcW w:w="992" w:type="dxa"/>
            <w:noWrap/>
          </w:tcPr>
          <w:p w14:paraId="21161BD8" w14:textId="4A154FD0"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3</w:t>
            </w:r>
            <w:r>
              <w:rPr>
                <w:rFonts w:cs="Arial"/>
                <w:color w:val="000000" w:themeColor="text1"/>
                <w:szCs w:val="18"/>
              </w:rPr>
              <w:t>.</w:t>
            </w:r>
            <w:r w:rsidRPr="00DE6952">
              <w:rPr>
                <w:rFonts w:cs="Arial"/>
                <w:color w:val="000000" w:themeColor="text1"/>
                <w:szCs w:val="18"/>
              </w:rPr>
              <w:t>40</w:t>
            </w:r>
            <w:r>
              <w:rPr>
                <w:rFonts w:cs="Arial"/>
                <w:color w:val="000000" w:themeColor="text1"/>
                <w:szCs w:val="18"/>
              </w:rPr>
              <w:t>x10</w:t>
            </w:r>
            <w:r w:rsidRPr="009451CD">
              <w:rPr>
                <w:rFonts w:cs="Arial"/>
                <w:color w:val="000000" w:themeColor="text1"/>
                <w:szCs w:val="18"/>
                <w:vertAlign w:val="superscript"/>
              </w:rPr>
              <w:t>-1</w:t>
            </w:r>
          </w:p>
        </w:tc>
        <w:tc>
          <w:tcPr>
            <w:tcW w:w="1039" w:type="dxa"/>
            <w:noWrap/>
          </w:tcPr>
          <w:p w14:paraId="6836E583" w14:textId="3F56389A"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875AC2">
              <w:rPr>
                <w:rFonts w:cs="Arial"/>
                <w:color w:val="000000" w:themeColor="text1"/>
                <w:szCs w:val="18"/>
              </w:rPr>
              <w:t>0.00x10</w:t>
            </w:r>
            <w:r w:rsidRPr="00875AC2">
              <w:rPr>
                <w:rFonts w:cs="Arial"/>
                <w:color w:val="000000" w:themeColor="text1"/>
                <w:szCs w:val="18"/>
                <w:vertAlign w:val="superscript"/>
              </w:rPr>
              <w:t>0</w:t>
            </w:r>
          </w:p>
        </w:tc>
      </w:tr>
      <w:tr w:rsidR="009451CD" w:rsidRPr="00DE6952" w14:paraId="6A39B5BE" w14:textId="77777777" w:rsidTr="002F2222">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560" w:type="dxa"/>
            <w:noWrap/>
          </w:tcPr>
          <w:p w14:paraId="02531037" w14:textId="77777777" w:rsidR="009451CD" w:rsidRPr="00DE6952" w:rsidRDefault="009451CD" w:rsidP="009451CD">
            <w:pPr>
              <w:pStyle w:val="CETBodytext"/>
              <w:rPr>
                <w:rFonts w:cs="Arial"/>
                <w:color w:val="000000" w:themeColor="text1"/>
                <w:szCs w:val="18"/>
              </w:rPr>
            </w:pPr>
            <w:r w:rsidRPr="00DE6952">
              <w:rPr>
                <w:rFonts w:cs="Arial"/>
                <w:b w:val="0"/>
                <w:bCs w:val="0"/>
                <w:color w:val="000000" w:themeColor="text1"/>
                <w:szCs w:val="18"/>
              </w:rPr>
              <w:t>Linoleic</w:t>
            </w:r>
          </w:p>
        </w:tc>
        <w:tc>
          <w:tcPr>
            <w:tcW w:w="992" w:type="dxa"/>
            <w:noWrap/>
          </w:tcPr>
          <w:p w14:paraId="47A1CCB2" w14:textId="1C77C8B2"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1</w:t>
            </w:r>
            <w:r>
              <w:rPr>
                <w:rFonts w:cs="Arial"/>
                <w:color w:val="000000" w:themeColor="text1"/>
                <w:szCs w:val="18"/>
              </w:rPr>
              <w:t>.</w:t>
            </w:r>
            <w:r w:rsidRPr="00DE6952">
              <w:rPr>
                <w:rFonts w:cs="Arial"/>
                <w:color w:val="000000" w:themeColor="text1"/>
                <w:szCs w:val="18"/>
              </w:rPr>
              <w:t>98</w:t>
            </w:r>
            <w:r>
              <w:rPr>
                <w:rFonts w:cs="Arial"/>
                <w:color w:val="000000" w:themeColor="text1"/>
                <w:szCs w:val="18"/>
              </w:rPr>
              <w:t>x10</w:t>
            </w:r>
            <w:r w:rsidRPr="008B4121">
              <w:rPr>
                <w:rFonts w:cs="Arial"/>
                <w:color w:val="000000" w:themeColor="text1"/>
                <w:szCs w:val="18"/>
                <w:vertAlign w:val="superscript"/>
              </w:rPr>
              <w:t>-3</w:t>
            </w:r>
          </w:p>
        </w:tc>
        <w:tc>
          <w:tcPr>
            <w:tcW w:w="992" w:type="dxa"/>
            <w:noWrap/>
          </w:tcPr>
          <w:p w14:paraId="2536A3C8" w14:textId="6591BB79"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4C28E7">
              <w:rPr>
                <w:rFonts w:cs="Arial"/>
                <w:color w:val="000000" w:themeColor="text1"/>
                <w:szCs w:val="18"/>
              </w:rPr>
              <w:t>0</w:t>
            </w:r>
            <w:r>
              <w:rPr>
                <w:rFonts w:cs="Arial"/>
                <w:color w:val="000000" w:themeColor="text1"/>
                <w:szCs w:val="18"/>
              </w:rPr>
              <w:t>.</w:t>
            </w:r>
            <w:r w:rsidRPr="004C28E7">
              <w:rPr>
                <w:rFonts w:cs="Arial"/>
                <w:color w:val="000000" w:themeColor="text1"/>
                <w:szCs w:val="18"/>
              </w:rPr>
              <w:t>00x10</w:t>
            </w:r>
            <w:r w:rsidRPr="004C28E7">
              <w:rPr>
                <w:rFonts w:cs="Arial"/>
                <w:color w:val="000000" w:themeColor="text1"/>
                <w:szCs w:val="18"/>
                <w:vertAlign w:val="superscript"/>
              </w:rPr>
              <w:t>0</w:t>
            </w:r>
          </w:p>
        </w:tc>
        <w:tc>
          <w:tcPr>
            <w:tcW w:w="992" w:type="dxa"/>
            <w:noWrap/>
          </w:tcPr>
          <w:p w14:paraId="3C35F557" w14:textId="065BADDB"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8</w:t>
            </w:r>
            <w:r>
              <w:rPr>
                <w:rFonts w:cs="Arial"/>
                <w:color w:val="000000" w:themeColor="text1"/>
                <w:szCs w:val="18"/>
              </w:rPr>
              <w:t>.</w:t>
            </w:r>
            <w:r w:rsidRPr="00DE6952">
              <w:rPr>
                <w:rFonts w:cs="Arial"/>
                <w:color w:val="000000" w:themeColor="text1"/>
                <w:szCs w:val="18"/>
              </w:rPr>
              <w:t>96</w:t>
            </w:r>
            <w:r>
              <w:rPr>
                <w:rFonts w:cs="Arial"/>
                <w:color w:val="000000" w:themeColor="text1"/>
                <w:szCs w:val="18"/>
              </w:rPr>
              <w:t>x10</w:t>
            </w:r>
            <w:r w:rsidRPr="007F6509">
              <w:rPr>
                <w:rFonts w:cs="Arial"/>
                <w:color w:val="000000" w:themeColor="text1"/>
                <w:szCs w:val="18"/>
                <w:vertAlign w:val="superscript"/>
              </w:rPr>
              <w:t>-2</w:t>
            </w:r>
          </w:p>
        </w:tc>
        <w:tc>
          <w:tcPr>
            <w:tcW w:w="992" w:type="dxa"/>
            <w:noWrap/>
          </w:tcPr>
          <w:p w14:paraId="7D11E198" w14:textId="20611B3A"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1</w:t>
            </w:r>
            <w:r>
              <w:rPr>
                <w:rFonts w:cs="Arial"/>
                <w:color w:val="000000" w:themeColor="text1"/>
                <w:szCs w:val="18"/>
              </w:rPr>
              <w:t>.</w:t>
            </w:r>
            <w:r w:rsidRPr="00DE6952">
              <w:rPr>
                <w:rFonts w:cs="Arial"/>
                <w:color w:val="000000" w:themeColor="text1"/>
                <w:szCs w:val="18"/>
              </w:rPr>
              <w:t>47</w:t>
            </w:r>
            <w:r>
              <w:rPr>
                <w:rFonts w:cs="Arial"/>
                <w:color w:val="000000" w:themeColor="text1"/>
                <w:szCs w:val="18"/>
              </w:rPr>
              <w:t>x10</w:t>
            </w:r>
            <w:r w:rsidRPr="00FE5B69">
              <w:rPr>
                <w:rFonts w:cs="Arial"/>
                <w:color w:val="000000" w:themeColor="text1"/>
                <w:szCs w:val="18"/>
                <w:vertAlign w:val="superscript"/>
              </w:rPr>
              <w:t>-2</w:t>
            </w:r>
          </w:p>
        </w:tc>
        <w:tc>
          <w:tcPr>
            <w:tcW w:w="1068" w:type="dxa"/>
            <w:noWrap/>
          </w:tcPr>
          <w:p w14:paraId="32088000" w14:textId="5C8A8B4F"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1</w:t>
            </w:r>
            <w:r>
              <w:rPr>
                <w:rFonts w:cs="Arial"/>
                <w:color w:val="000000" w:themeColor="text1"/>
                <w:szCs w:val="18"/>
              </w:rPr>
              <w:t>.</w:t>
            </w:r>
            <w:r w:rsidRPr="00DE6952">
              <w:rPr>
                <w:rFonts w:cs="Arial"/>
                <w:color w:val="000000" w:themeColor="text1"/>
                <w:szCs w:val="18"/>
              </w:rPr>
              <w:t>55</w:t>
            </w:r>
            <w:r>
              <w:rPr>
                <w:rFonts w:cs="Arial"/>
                <w:color w:val="000000" w:themeColor="text1"/>
                <w:szCs w:val="18"/>
              </w:rPr>
              <w:t>x10</w:t>
            </w:r>
            <w:r w:rsidRPr="001D767C">
              <w:rPr>
                <w:rFonts w:cs="Arial"/>
                <w:color w:val="000000" w:themeColor="text1"/>
                <w:szCs w:val="18"/>
                <w:vertAlign w:val="superscript"/>
              </w:rPr>
              <w:t>-2</w:t>
            </w:r>
          </w:p>
        </w:tc>
        <w:tc>
          <w:tcPr>
            <w:tcW w:w="992" w:type="dxa"/>
            <w:noWrap/>
          </w:tcPr>
          <w:p w14:paraId="0B235C8A" w14:textId="0CA42C20"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1</w:t>
            </w:r>
            <w:r>
              <w:rPr>
                <w:rFonts w:cs="Arial"/>
                <w:color w:val="000000" w:themeColor="text1"/>
                <w:szCs w:val="18"/>
              </w:rPr>
              <w:t>.</w:t>
            </w:r>
            <w:r w:rsidRPr="00DE6952">
              <w:rPr>
                <w:rFonts w:cs="Arial"/>
                <w:color w:val="000000" w:themeColor="text1"/>
                <w:szCs w:val="18"/>
              </w:rPr>
              <w:t>91</w:t>
            </w:r>
            <w:r>
              <w:rPr>
                <w:rFonts w:cs="Arial"/>
                <w:color w:val="000000" w:themeColor="text1"/>
                <w:szCs w:val="18"/>
              </w:rPr>
              <w:t>x10</w:t>
            </w:r>
            <w:r w:rsidRPr="009451CD">
              <w:rPr>
                <w:rFonts w:cs="Arial"/>
                <w:color w:val="000000" w:themeColor="text1"/>
                <w:szCs w:val="18"/>
                <w:vertAlign w:val="superscript"/>
              </w:rPr>
              <w:t>-1</w:t>
            </w:r>
          </w:p>
        </w:tc>
        <w:tc>
          <w:tcPr>
            <w:tcW w:w="1039" w:type="dxa"/>
            <w:noWrap/>
          </w:tcPr>
          <w:p w14:paraId="66A1DA1F" w14:textId="740BBD3C"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875AC2">
              <w:rPr>
                <w:rFonts w:cs="Arial"/>
                <w:color w:val="000000" w:themeColor="text1"/>
                <w:szCs w:val="18"/>
              </w:rPr>
              <w:t>0.00x10</w:t>
            </w:r>
            <w:r w:rsidRPr="00875AC2">
              <w:rPr>
                <w:rFonts w:cs="Arial"/>
                <w:color w:val="000000" w:themeColor="text1"/>
                <w:szCs w:val="18"/>
                <w:vertAlign w:val="superscript"/>
              </w:rPr>
              <w:t>0</w:t>
            </w:r>
          </w:p>
        </w:tc>
      </w:tr>
      <w:tr w:rsidR="009451CD" w:rsidRPr="00DE6952" w14:paraId="3CEE7B16" w14:textId="77777777" w:rsidTr="002F2222">
        <w:trPr>
          <w:trHeight w:val="188"/>
        </w:trPr>
        <w:tc>
          <w:tcPr>
            <w:cnfStyle w:val="001000000000" w:firstRow="0" w:lastRow="0" w:firstColumn="1" w:lastColumn="0" w:oddVBand="0" w:evenVBand="0" w:oddHBand="0" w:evenHBand="0" w:firstRowFirstColumn="0" w:firstRowLastColumn="0" w:lastRowFirstColumn="0" w:lastRowLastColumn="0"/>
            <w:tcW w:w="1560" w:type="dxa"/>
            <w:noWrap/>
          </w:tcPr>
          <w:p w14:paraId="42FE3C19" w14:textId="77777777" w:rsidR="009451CD" w:rsidRPr="00DE6952" w:rsidRDefault="009451CD" w:rsidP="009451CD">
            <w:pPr>
              <w:pStyle w:val="CETBodytext"/>
              <w:rPr>
                <w:rFonts w:cs="Arial"/>
                <w:color w:val="000000" w:themeColor="text1"/>
                <w:szCs w:val="18"/>
              </w:rPr>
            </w:pPr>
            <w:r w:rsidRPr="00DE6952">
              <w:rPr>
                <w:rFonts w:cs="Arial"/>
                <w:b w:val="0"/>
                <w:bCs w:val="0"/>
                <w:color w:val="000000" w:themeColor="text1"/>
                <w:szCs w:val="18"/>
              </w:rPr>
              <w:t>Linolenic</w:t>
            </w:r>
          </w:p>
        </w:tc>
        <w:tc>
          <w:tcPr>
            <w:tcW w:w="992" w:type="dxa"/>
            <w:noWrap/>
          </w:tcPr>
          <w:p w14:paraId="2E547183" w14:textId="52E0CCE7"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2</w:t>
            </w:r>
            <w:r>
              <w:rPr>
                <w:rFonts w:cs="Arial"/>
                <w:color w:val="000000" w:themeColor="text1"/>
                <w:szCs w:val="18"/>
              </w:rPr>
              <w:t>.</w:t>
            </w:r>
            <w:r w:rsidRPr="00DE6952">
              <w:rPr>
                <w:rFonts w:cs="Arial"/>
                <w:color w:val="000000" w:themeColor="text1"/>
                <w:szCs w:val="18"/>
              </w:rPr>
              <w:t>97</w:t>
            </w:r>
            <w:r>
              <w:rPr>
                <w:rFonts w:cs="Arial"/>
                <w:color w:val="000000" w:themeColor="text1"/>
                <w:szCs w:val="18"/>
              </w:rPr>
              <w:t>x10</w:t>
            </w:r>
            <w:r w:rsidRPr="008B4121">
              <w:rPr>
                <w:rFonts w:cs="Arial"/>
                <w:color w:val="000000" w:themeColor="text1"/>
                <w:szCs w:val="18"/>
                <w:vertAlign w:val="superscript"/>
              </w:rPr>
              <w:t>-4</w:t>
            </w:r>
          </w:p>
        </w:tc>
        <w:tc>
          <w:tcPr>
            <w:tcW w:w="992" w:type="dxa"/>
            <w:noWrap/>
          </w:tcPr>
          <w:p w14:paraId="78936DAD" w14:textId="6BE131FE"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4C28E7">
              <w:rPr>
                <w:rFonts w:cs="Arial"/>
                <w:color w:val="000000" w:themeColor="text1"/>
                <w:szCs w:val="18"/>
              </w:rPr>
              <w:t>0</w:t>
            </w:r>
            <w:r>
              <w:rPr>
                <w:rFonts w:cs="Arial"/>
                <w:color w:val="000000" w:themeColor="text1"/>
                <w:szCs w:val="18"/>
              </w:rPr>
              <w:t>.</w:t>
            </w:r>
            <w:r w:rsidRPr="004C28E7">
              <w:rPr>
                <w:rFonts w:cs="Arial"/>
                <w:color w:val="000000" w:themeColor="text1"/>
                <w:szCs w:val="18"/>
              </w:rPr>
              <w:t>00x10</w:t>
            </w:r>
            <w:r w:rsidRPr="004C28E7">
              <w:rPr>
                <w:rFonts w:cs="Arial"/>
                <w:color w:val="000000" w:themeColor="text1"/>
                <w:szCs w:val="18"/>
                <w:vertAlign w:val="superscript"/>
              </w:rPr>
              <w:t>0</w:t>
            </w:r>
          </w:p>
        </w:tc>
        <w:tc>
          <w:tcPr>
            <w:tcW w:w="992" w:type="dxa"/>
            <w:noWrap/>
          </w:tcPr>
          <w:p w14:paraId="4AE383CD" w14:textId="06294C35"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1</w:t>
            </w:r>
            <w:r>
              <w:rPr>
                <w:rFonts w:cs="Arial"/>
                <w:color w:val="000000" w:themeColor="text1"/>
                <w:szCs w:val="18"/>
              </w:rPr>
              <w:t>.</w:t>
            </w:r>
            <w:r w:rsidRPr="00DE6952">
              <w:rPr>
                <w:rFonts w:cs="Arial"/>
                <w:color w:val="000000" w:themeColor="text1"/>
                <w:szCs w:val="18"/>
              </w:rPr>
              <w:t>34</w:t>
            </w:r>
            <w:r>
              <w:rPr>
                <w:rFonts w:cs="Arial"/>
                <w:color w:val="000000" w:themeColor="text1"/>
                <w:szCs w:val="18"/>
              </w:rPr>
              <w:t>x10</w:t>
            </w:r>
            <w:r w:rsidRPr="007F6509">
              <w:rPr>
                <w:rFonts w:cs="Arial"/>
                <w:color w:val="000000" w:themeColor="text1"/>
                <w:szCs w:val="18"/>
                <w:vertAlign w:val="superscript"/>
              </w:rPr>
              <w:t>-2</w:t>
            </w:r>
          </w:p>
        </w:tc>
        <w:tc>
          <w:tcPr>
            <w:tcW w:w="992" w:type="dxa"/>
            <w:noWrap/>
          </w:tcPr>
          <w:p w14:paraId="1544365A" w14:textId="485E320C"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2</w:t>
            </w:r>
            <w:r>
              <w:rPr>
                <w:rFonts w:cs="Arial"/>
                <w:color w:val="000000" w:themeColor="text1"/>
                <w:szCs w:val="18"/>
              </w:rPr>
              <w:t>.</w:t>
            </w:r>
            <w:r w:rsidRPr="00DE6952">
              <w:rPr>
                <w:rFonts w:cs="Arial"/>
                <w:color w:val="000000" w:themeColor="text1"/>
                <w:szCs w:val="18"/>
              </w:rPr>
              <w:t>21</w:t>
            </w:r>
            <w:r>
              <w:rPr>
                <w:rFonts w:cs="Arial"/>
                <w:color w:val="000000" w:themeColor="text1"/>
                <w:szCs w:val="18"/>
              </w:rPr>
              <w:t>x10</w:t>
            </w:r>
            <w:r w:rsidRPr="00FE5B69">
              <w:rPr>
                <w:rFonts w:cs="Arial"/>
                <w:color w:val="000000" w:themeColor="text1"/>
                <w:szCs w:val="18"/>
                <w:vertAlign w:val="superscript"/>
              </w:rPr>
              <w:t>-3</w:t>
            </w:r>
          </w:p>
        </w:tc>
        <w:tc>
          <w:tcPr>
            <w:tcW w:w="1068" w:type="dxa"/>
            <w:noWrap/>
          </w:tcPr>
          <w:p w14:paraId="74E5DD3B" w14:textId="4A0F5082"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2</w:t>
            </w:r>
            <w:r>
              <w:rPr>
                <w:rFonts w:cs="Arial"/>
                <w:color w:val="000000" w:themeColor="text1"/>
                <w:szCs w:val="18"/>
              </w:rPr>
              <w:t>.</w:t>
            </w:r>
            <w:r w:rsidRPr="00DE6952">
              <w:rPr>
                <w:rFonts w:cs="Arial"/>
                <w:color w:val="000000" w:themeColor="text1"/>
                <w:szCs w:val="18"/>
              </w:rPr>
              <w:t>33</w:t>
            </w:r>
            <w:r>
              <w:rPr>
                <w:rFonts w:cs="Arial"/>
                <w:color w:val="000000" w:themeColor="text1"/>
                <w:szCs w:val="18"/>
              </w:rPr>
              <w:t>x10</w:t>
            </w:r>
            <w:r w:rsidRPr="001D767C">
              <w:rPr>
                <w:rFonts w:cs="Arial"/>
                <w:color w:val="000000" w:themeColor="text1"/>
                <w:szCs w:val="18"/>
                <w:vertAlign w:val="superscript"/>
              </w:rPr>
              <w:t>-3</w:t>
            </w:r>
          </w:p>
        </w:tc>
        <w:tc>
          <w:tcPr>
            <w:tcW w:w="992" w:type="dxa"/>
            <w:noWrap/>
          </w:tcPr>
          <w:p w14:paraId="316505AA" w14:textId="6FD52120"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DE6952">
              <w:rPr>
                <w:rFonts w:cs="Arial"/>
                <w:color w:val="000000" w:themeColor="text1"/>
                <w:szCs w:val="18"/>
              </w:rPr>
              <w:t>2</w:t>
            </w:r>
            <w:r>
              <w:rPr>
                <w:rFonts w:cs="Arial"/>
                <w:color w:val="000000" w:themeColor="text1"/>
                <w:szCs w:val="18"/>
              </w:rPr>
              <w:t>.</w:t>
            </w:r>
            <w:r w:rsidRPr="00DE6952">
              <w:rPr>
                <w:rFonts w:cs="Arial"/>
                <w:color w:val="000000" w:themeColor="text1"/>
                <w:szCs w:val="18"/>
              </w:rPr>
              <w:t>86</w:t>
            </w:r>
            <w:r>
              <w:rPr>
                <w:rFonts w:cs="Arial"/>
                <w:color w:val="000000" w:themeColor="text1"/>
                <w:szCs w:val="18"/>
              </w:rPr>
              <w:t>x10</w:t>
            </w:r>
            <w:r w:rsidRPr="009451CD">
              <w:rPr>
                <w:rFonts w:cs="Arial"/>
                <w:color w:val="000000" w:themeColor="text1"/>
                <w:szCs w:val="18"/>
                <w:vertAlign w:val="superscript"/>
              </w:rPr>
              <w:t>-2</w:t>
            </w:r>
          </w:p>
        </w:tc>
        <w:tc>
          <w:tcPr>
            <w:tcW w:w="1039" w:type="dxa"/>
            <w:noWrap/>
          </w:tcPr>
          <w:p w14:paraId="0B970D86" w14:textId="7FBDE555" w:rsidR="009451CD" w:rsidRPr="00DE6952" w:rsidRDefault="009451CD" w:rsidP="009451CD">
            <w:pPr>
              <w:pStyle w:val="CET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875AC2">
              <w:rPr>
                <w:rFonts w:cs="Arial"/>
                <w:color w:val="000000" w:themeColor="text1"/>
                <w:szCs w:val="18"/>
              </w:rPr>
              <w:t>0.00x10</w:t>
            </w:r>
            <w:r w:rsidRPr="00875AC2">
              <w:rPr>
                <w:rFonts w:cs="Arial"/>
                <w:color w:val="000000" w:themeColor="text1"/>
                <w:szCs w:val="18"/>
                <w:vertAlign w:val="superscript"/>
              </w:rPr>
              <w:t>0</w:t>
            </w:r>
          </w:p>
        </w:tc>
      </w:tr>
      <w:tr w:rsidR="009451CD" w:rsidRPr="00DE6952" w14:paraId="669B02D1" w14:textId="77777777" w:rsidTr="002F2222">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560" w:type="dxa"/>
            <w:tcBorders>
              <w:bottom w:val="double" w:sz="4" w:space="0" w:color="9BBB59" w:themeColor="accent3"/>
            </w:tcBorders>
            <w:noWrap/>
          </w:tcPr>
          <w:p w14:paraId="23F4D7AE" w14:textId="77777777" w:rsidR="009451CD" w:rsidRPr="00DE6952" w:rsidRDefault="009451CD" w:rsidP="009451CD">
            <w:pPr>
              <w:pStyle w:val="CETBodytext"/>
              <w:rPr>
                <w:rFonts w:cs="Arial"/>
                <w:color w:val="000000" w:themeColor="text1"/>
                <w:szCs w:val="18"/>
              </w:rPr>
            </w:pPr>
            <w:r w:rsidRPr="00DE6952">
              <w:rPr>
                <w:rFonts w:cs="Arial"/>
                <w:b w:val="0"/>
                <w:bCs w:val="0"/>
                <w:color w:val="000000" w:themeColor="text1"/>
                <w:szCs w:val="18"/>
              </w:rPr>
              <w:t>Arachidic</w:t>
            </w:r>
          </w:p>
        </w:tc>
        <w:tc>
          <w:tcPr>
            <w:tcW w:w="992" w:type="dxa"/>
            <w:tcBorders>
              <w:bottom w:val="double" w:sz="4" w:space="0" w:color="9BBB59" w:themeColor="accent3"/>
            </w:tcBorders>
            <w:noWrap/>
          </w:tcPr>
          <w:p w14:paraId="0302FC24" w14:textId="451FC049"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5</w:t>
            </w:r>
            <w:r>
              <w:rPr>
                <w:rFonts w:cs="Arial"/>
                <w:color w:val="000000" w:themeColor="text1"/>
                <w:szCs w:val="18"/>
              </w:rPr>
              <w:t>.</w:t>
            </w:r>
            <w:r w:rsidRPr="00DE6952">
              <w:rPr>
                <w:rFonts w:cs="Arial"/>
                <w:color w:val="000000" w:themeColor="text1"/>
                <w:szCs w:val="18"/>
              </w:rPr>
              <w:t>20</w:t>
            </w:r>
            <w:r>
              <w:rPr>
                <w:rFonts w:cs="Arial"/>
                <w:color w:val="000000" w:themeColor="text1"/>
                <w:szCs w:val="18"/>
              </w:rPr>
              <w:t>x10</w:t>
            </w:r>
            <w:r w:rsidRPr="008B4121">
              <w:rPr>
                <w:rFonts w:cs="Arial"/>
                <w:color w:val="000000" w:themeColor="text1"/>
                <w:szCs w:val="18"/>
                <w:vertAlign w:val="superscript"/>
              </w:rPr>
              <w:t>-5</w:t>
            </w:r>
          </w:p>
        </w:tc>
        <w:tc>
          <w:tcPr>
            <w:tcW w:w="992" w:type="dxa"/>
            <w:tcBorders>
              <w:bottom w:val="double" w:sz="4" w:space="0" w:color="9BBB59" w:themeColor="accent3"/>
            </w:tcBorders>
            <w:noWrap/>
          </w:tcPr>
          <w:p w14:paraId="248FA0F6" w14:textId="127620C3"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4C28E7">
              <w:rPr>
                <w:rFonts w:cs="Arial"/>
                <w:color w:val="000000" w:themeColor="text1"/>
                <w:szCs w:val="18"/>
              </w:rPr>
              <w:t>0</w:t>
            </w:r>
            <w:r>
              <w:rPr>
                <w:rFonts w:cs="Arial"/>
                <w:color w:val="000000" w:themeColor="text1"/>
                <w:szCs w:val="18"/>
              </w:rPr>
              <w:t>.</w:t>
            </w:r>
            <w:r w:rsidRPr="004C28E7">
              <w:rPr>
                <w:rFonts w:cs="Arial"/>
                <w:color w:val="000000" w:themeColor="text1"/>
                <w:szCs w:val="18"/>
              </w:rPr>
              <w:t>00x10</w:t>
            </w:r>
            <w:r w:rsidRPr="004C28E7">
              <w:rPr>
                <w:rFonts w:cs="Arial"/>
                <w:color w:val="000000" w:themeColor="text1"/>
                <w:szCs w:val="18"/>
                <w:vertAlign w:val="superscript"/>
              </w:rPr>
              <w:t>0</w:t>
            </w:r>
          </w:p>
        </w:tc>
        <w:tc>
          <w:tcPr>
            <w:tcW w:w="992" w:type="dxa"/>
            <w:tcBorders>
              <w:bottom w:val="double" w:sz="4" w:space="0" w:color="9BBB59" w:themeColor="accent3"/>
            </w:tcBorders>
            <w:noWrap/>
          </w:tcPr>
          <w:p w14:paraId="351EB378" w14:textId="795D2FB8"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2</w:t>
            </w:r>
            <w:r>
              <w:rPr>
                <w:rFonts w:cs="Arial"/>
                <w:color w:val="000000" w:themeColor="text1"/>
                <w:szCs w:val="18"/>
              </w:rPr>
              <w:t>.</w:t>
            </w:r>
            <w:r w:rsidRPr="00DE6952">
              <w:rPr>
                <w:rFonts w:cs="Arial"/>
                <w:color w:val="000000" w:themeColor="text1"/>
                <w:szCs w:val="18"/>
              </w:rPr>
              <w:t>35</w:t>
            </w:r>
            <w:r>
              <w:rPr>
                <w:rFonts w:cs="Arial"/>
                <w:color w:val="000000" w:themeColor="text1"/>
                <w:szCs w:val="18"/>
              </w:rPr>
              <w:t>x10</w:t>
            </w:r>
            <w:r w:rsidRPr="007F6509">
              <w:rPr>
                <w:rFonts w:cs="Arial"/>
                <w:color w:val="000000" w:themeColor="text1"/>
                <w:szCs w:val="18"/>
                <w:vertAlign w:val="superscript"/>
              </w:rPr>
              <w:t>-3</w:t>
            </w:r>
          </w:p>
        </w:tc>
        <w:tc>
          <w:tcPr>
            <w:tcW w:w="992" w:type="dxa"/>
            <w:tcBorders>
              <w:bottom w:val="double" w:sz="4" w:space="0" w:color="9BBB59" w:themeColor="accent3"/>
            </w:tcBorders>
            <w:noWrap/>
          </w:tcPr>
          <w:p w14:paraId="75D7D29D" w14:textId="60B2D61E"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3</w:t>
            </w:r>
            <w:r>
              <w:rPr>
                <w:rFonts w:cs="Arial"/>
                <w:color w:val="000000" w:themeColor="text1"/>
                <w:szCs w:val="18"/>
              </w:rPr>
              <w:t>.</w:t>
            </w:r>
            <w:r w:rsidRPr="00DE6952">
              <w:rPr>
                <w:rFonts w:cs="Arial"/>
                <w:color w:val="000000" w:themeColor="text1"/>
                <w:szCs w:val="18"/>
              </w:rPr>
              <w:t>80</w:t>
            </w:r>
            <w:r>
              <w:rPr>
                <w:rFonts w:cs="Arial"/>
                <w:color w:val="000000" w:themeColor="text1"/>
                <w:szCs w:val="18"/>
              </w:rPr>
              <w:t>x10</w:t>
            </w:r>
            <w:r w:rsidRPr="00FE5B69">
              <w:rPr>
                <w:rFonts w:cs="Arial"/>
                <w:color w:val="000000" w:themeColor="text1"/>
                <w:szCs w:val="18"/>
                <w:vertAlign w:val="superscript"/>
              </w:rPr>
              <w:t>-4</w:t>
            </w:r>
          </w:p>
        </w:tc>
        <w:tc>
          <w:tcPr>
            <w:tcW w:w="1068" w:type="dxa"/>
            <w:tcBorders>
              <w:bottom w:val="double" w:sz="4" w:space="0" w:color="9BBB59" w:themeColor="accent3"/>
            </w:tcBorders>
            <w:noWrap/>
          </w:tcPr>
          <w:p w14:paraId="73B7D0EF" w14:textId="489059E7"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4</w:t>
            </w:r>
            <w:r>
              <w:rPr>
                <w:rFonts w:cs="Arial"/>
                <w:color w:val="000000" w:themeColor="text1"/>
                <w:szCs w:val="18"/>
              </w:rPr>
              <w:t>.</w:t>
            </w:r>
            <w:r w:rsidRPr="00DE6952">
              <w:rPr>
                <w:rFonts w:cs="Arial"/>
                <w:color w:val="000000" w:themeColor="text1"/>
                <w:szCs w:val="18"/>
              </w:rPr>
              <w:t>08</w:t>
            </w:r>
            <w:r>
              <w:rPr>
                <w:rFonts w:cs="Arial"/>
                <w:color w:val="000000" w:themeColor="text1"/>
                <w:szCs w:val="18"/>
              </w:rPr>
              <w:t>x10</w:t>
            </w:r>
            <w:r w:rsidRPr="001D767C">
              <w:rPr>
                <w:rFonts w:cs="Arial"/>
                <w:color w:val="000000" w:themeColor="text1"/>
                <w:szCs w:val="18"/>
                <w:vertAlign w:val="superscript"/>
              </w:rPr>
              <w:t>-4</w:t>
            </w:r>
          </w:p>
        </w:tc>
        <w:tc>
          <w:tcPr>
            <w:tcW w:w="992" w:type="dxa"/>
            <w:tcBorders>
              <w:bottom w:val="double" w:sz="4" w:space="0" w:color="9BBB59" w:themeColor="accent3"/>
            </w:tcBorders>
            <w:noWrap/>
          </w:tcPr>
          <w:p w14:paraId="6DD7636C" w14:textId="4BA88A10"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DE6952">
              <w:rPr>
                <w:rFonts w:cs="Arial"/>
                <w:color w:val="000000" w:themeColor="text1"/>
                <w:szCs w:val="18"/>
              </w:rPr>
              <w:t>5</w:t>
            </w:r>
            <w:r>
              <w:rPr>
                <w:rFonts w:cs="Arial"/>
                <w:color w:val="000000" w:themeColor="text1"/>
                <w:szCs w:val="18"/>
              </w:rPr>
              <w:t>.</w:t>
            </w:r>
            <w:r w:rsidRPr="00DE6952">
              <w:rPr>
                <w:rFonts w:cs="Arial"/>
                <w:color w:val="000000" w:themeColor="text1"/>
                <w:szCs w:val="18"/>
              </w:rPr>
              <w:t>03</w:t>
            </w:r>
            <w:r>
              <w:rPr>
                <w:rFonts w:cs="Arial"/>
                <w:color w:val="000000" w:themeColor="text1"/>
                <w:szCs w:val="18"/>
              </w:rPr>
              <w:t>x10</w:t>
            </w:r>
            <w:r w:rsidRPr="009451CD">
              <w:rPr>
                <w:rFonts w:cs="Arial"/>
                <w:color w:val="000000" w:themeColor="text1"/>
                <w:szCs w:val="18"/>
                <w:vertAlign w:val="superscript"/>
              </w:rPr>
              <w:t>-3</w:t>
            </w:r>
          </w:p>
        </w:tc>
        <w:tc>
          <w:tcPr>
            <w:tcW w:w="1039" w:type="dxa"/>
            <w:tcBorders>
              <w:bottom w:val="double" w:sz="4" w:space="0" w:color="9BBB59" w:themeColor="accent3"/>
            </w:tcBorders>
            <w:noWrap/>
          </w:tcPr>
          <w:p w14:paraId="7B0E1726" w14:textId="1FB28C8E" w:rsidR="009451CD" w:rsidRPr="00DE6952" w:rsidRDefault="009451CD" w:rsidP="009451CD">
            <w:pPr>
              <w:pStyle w:val="CET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875AC2">
              <w:rPr>
                <w:rFonts w:cs="Arial"/>
                <w:color w:val="000000" w:themeColor="text1"/>
                <w:szCs w:val="18"/>
              </w:rPr>
              <w:t>0.00x10</w:t>
            </w:r>
            <w:r w:rsidRPr="00875AC2">
              <w:rPr>
                <w:rFonts w:cs="Arial"/>
                <w:color w:val="000000" w:themeColor="text1"/>
                <w:szCs w:val="18"/>
                <w:vertAlign w:val="superscript"/>
              </w:rPr>
              <w:t>0</w:t>
            </w:r>
          </w:p>
        </w:tc>
      </w:tr>
    </w:tbl>
    <w:p w14:paraId="63C7E90F" w14:textId="3A16DACE" w:rsidR="00134A7C" w:rsidRDefault="00134A7C" w:rsidP="00E95F8D">
      <w:pPr>
        <w:pStyle w:val="CETBodytext"/>
        <w:rPr>
          <w:lang w:val="es-CO"/>
        </w:rPr>
      </w:pPr>
    </w:p>
    <w:p w14:paraId="16B4D21C" w14:textId="77777777" w:rsidR="009B6E0D" w:rsidRPr="00F4790A" w:rsidRDefault="009B6E0D" w:rsidP="00F4790A">
      <w:pPr>
        <w:pStyle w:val="CETBodytext"/>
      </w:pPr>
      <w:r w:rsidRPr="00F4790A">
        <w:t>Considerations</w:t>
      </w:r>
    </w:p>
    <w:p w14:paraId="31ED4694" w14:textId="77777777" w:rsidR="009B6E0D" w:rsidRPr="00F4790A" w:rsidRDefault="009B6E0D" w:rsidP="00F4790A">
      <w:pPr>
        <w:pStyle w:val="CETBodytext"/>
      </w:pPr>
      <w:r w:rsidRPr="00F4790A">
        <w:t xml:space="preserve">• The UNIQUAC-RK thermodynamic model was applied, this uses the UNIQUAC activity coefficient model for the liquid phase, which can handle any combination of polar and non-polar compounds, up to a very strong non-ideality; and for the vapor phase the Redlich-Kwong equation of state. The equation of state is used to model single or multiphase systems and measure thermodynamic characteristics such as enthalpy, density, phase balances, etc.; that is why it is important to determine the proper equation of state </w:t>
      </w:r>
      <w:r w:rsidRPr="00F4790A">
        <w:fldChar w:fldCharType="begin" w:fldLock="1"/>
      </w:r>
      <w:r w:rsidRPr="00F4790A">
        <w:instrText>ADDIN CSL_CITATION {"citationItems":[{"id":"ITEM-1","itemData":{"DOI":"10.3303/CET1870161","ISBN":"9788895608679","ISSN":"22839216","author":[{"dropping-particle":"","family":"Rezakazemi","given":"Mashallah","non-dropping-particle":"","parse-names":false,"suffix":""},{"dropping-particle":"","family":"Rahmanian","given":"Nejat","non-dropping-particle":"","parse-names":false,"suffix":""},{"dropping-particle":"","family":"Jamil","given":"Hassan","non-dropping-particle":"","parse-names":false,"suffix":""},{"dropping-particle":"","family":"Shirazian","given":"Saeed","non-dropping-particle":"","parse-names":false,"suffix":""}],"container-title":"Chemical Engineering Transactions","id":"ITEM-1","issued":{"date-parts":[["2018"]]},"page":"961-966","title":"Process simulation and evaluation of ethane recovery process using aspen-HYSYS","type":"article-journal","volume":"70"},"uris":["http://www.mendeley.com/documents/?uuid=416cddda-9c2f-4d4a-bc90-8826a54132c1"]}],"mendeley":{"formattedCitation":"(Rezakazemi et al., 2018)","manualFormatting":"(Rezakazemi et al., 2018)","plainTextFormattedCitation":"(Rezakazemi et al., 2018)","previouslyFormattedCitation":"(Rezakazemi &lt;i&gt;et al.&lt;/i&gt;, 2018)"},"properties":{"noteIndex":0},"schema":"https://github.com/citation-style-language/schema/raw/master/csl-citation.json"}</w:instrText>
      </w:r>
      <w:r w:rsidRPr="00F4790A">
        <w:fldChar w:fldCharType="separate"/>
      </w:r>
      <w:r w:rsidRPr="00F4790A">
        <w:t>(Rezakazemi et al., 2018)</w:t>
      </w:r>
      <w:r w:rsidRPr="00F4790A">
        <w:fldChar w:fldCharType="end"/>
      </w:r>
      <w:r w:rsidRPr="00F4790A">
        <w:t>.</w:t>
      </w:r>
    </w:p>
    <w:p w14:paraId="76B95D66" w14:textId="77777777" w:rsidR="009B6E0D" w:rsidRPr="00F4790A" w:rsidRDefault="009B6E0D" w:rsidP="00F4790A">
      <w:pPr>
        <w:pStyle w:val="CETBodytext"/>
      </w:pPr>
      <w:r w:rsidRPr="00F4790A">
        <w:t>• Mixing units were simulated as agitator tanks.</w:t>
      </w:r>
    </w:p>
    <w:p w14:paraId="404116C1" w14:textId="77777777" w:rsidR="009B6E0D" w:rsidRPr="00F4790A" w:rsidRDefault="009B6E0D" w:rsidP="00F4790A">
      <w:pPr>
        <w:pStyle w:val="CETBodytext"/>
      </w:pPr>
      <w:r w:rsidRPr="00F4790A">
        <w:t>• For homogenization, a ball mill was used.</w:t>
      </w:r>
    </w:p>
    <w:p w14:paraId="1C12B7F7" w14:textId="77777777" w:rsidR="009B6E0D" w:rsidRPr="00F4790A" w:rsidRDefault="009B6E0D" w:rsidP="00F4790A">
      <w:pPr>
        <w:pStyle w:val="CETBodytext"/>
      </w:pPr>
      <w:r w:rsidRPr="00F4790A">
        <w:t>• 3% of the hexane is recovered.</w:t>
      </w:r>
    </w:p>
    <w:p w14:paraId="15284E02" w14:textId="77777777" w:rsidR="009B6E0D" w:rsidRPr="00F4790A" w:rsidRDefault="009B6E0D" w:rsidP="00F4790A">
      <w:pPr>
        <w:pStyle w:val="CETBodytext"/>
      </w:pPr>
      <w:r w:rsidRPr="00F4790A">
        <w:t>• 5% of the solids exit in stream 16, the residue stream from the centrifugation stage.</w:t>
      </w:r>
    </w:p>
    <w:p w14:paraId="46455CF2" w14:textId="6F062EA1" w:rsidR="009B6E0D" w:rsidRPr="001D71CA" w:rsidRDefault="009B6E0D" w:rsidP="00F4790A">
      <w:pPr>
        <w:pStyle w:val="CETBodytext"/>
      </w:pPr>
      <w:r w:rsidRPr="00F4790A">
        <w:t xml:space="preserve">• The final product is left with less than 1% </w:t>
      </w:r>
      <w:r w:rsidR="00956B12">
        <w:t xml:space="preserve">of </w:t>
      </w:r>
      <w:r w:rsidRPr="00F4790A">
        <w:t>solvent</w:t>
      </w:r>
      <w:r w:rsidRPr="001D71CA">
        <w:t>.</w:t>
      </w:r>
    </w:p>
    <w:p w14:paraId="0744DC30" w14:textId="430135B5" w:rsidR="005643EA" w:rsidRPr="0037118E" w:rsidRDefault="00AA44E1" w:rsidP="005643EA">
      <w:pPr>
        <w:pStyle w:val="CETheadingx"/>
        <w:rPr>
          <w:color w:val="auto"/>
        </w:rPr>
      </w:pPr>
      <w:r>
        <w:rPr>
          <w:color w:val="auto"/>
        </w:rPr>
        <w:t>V</w:t>
      </w:r>
      <w:r w:rsidRPr="0037118E">
        <w:rPr>
          <w:color w:val="auto"/>
        </w:rPr>
        <w:t>alidation</w:t>
      </w:r>
      <w:r>
        <w:rPr>
          <w:color w:val="auto"/>
        </w:rPr>
        <w:t xml:space="preserve"> </w:t>
      </w:r>
      <w:r w:rsidR="00956B12">
        <w:rPr>
          <w:color w:val="auto"/>
        </w:rPr>
        <w:t>of the results</w:t>
      </w:r>
    </w:p>
    <w:p w14:paraId="77BFDAF3" w14:textId="42396C4F" w:rsidR="005643EA" w:rsidRDefault="00AA44E1" w:rsidP="005643EA">
      <w:pPr>
        <w:pStyle w:val="CETBodytext"/>
      </w:pPr>
      <w:r w:rsidRPr="0037118E">
        <w:t xml:space="preserve">The oil extraction process using hexane as solvent had a yield of 65.19 %, similar to the oil production process reported by </w:t>
      </w:r>
      <w:r w:rsidRPr="0037118E">
        <w:rPr>
          <w:lang w:val="es-CO"/>
        </w:rPr>
        <w:fldChar w:fldCharType="begin" w:fldLock="1"/>
      </w:r>
      <w:r w:rsidR="00DF3716">
        <w:instrText>ADDIN CSL_CITATION {"citationItems":[{"id":"ITEM-1","itemData":{"DOI":"10.1080/03601234.2012.665669","ISSN":"03601234","PMID":"22494376","author":[{"dropping-particle":"","family":"Reddy","given":"Mageshni","non-dropping-particle":"","parse-names":false,"suffix":""},{"dropping-particle":"","family":"Moodley","given":"Roshila","non-dropping-particle":"","parse-names":false,"suffix":""},{"dropping-particle":"","family":"Jonnalagadda","given":"Sreekanth","non-dropping-particle":"","parse-names":false,"suffix":""}],"container-title":"Journal of Environmental Science and Health - Part B Pesticides, Food Contaminants, and Agricultural Wastes","id":"ITEM-1","issue":"6","issued":{"date-parts":[["2012"]]},"page":"529-537","title":"Fatty acid profile and elemental content of avocado (Persea americana Mill.) oil -effect of extraction methods","type":"article-journal","volume":"47"},"uris":["http://www.mendeley.com/documents/?uuid=25ca720a-7817-4aac-b74e-a6bac67784f4"]}],"mendeley":{"formattedCitation":"(Reddy et al., 2012)","manualFormatting":"Reddy et al. (2012)","plainTextFormattedCitation":"(Reddy et al., 2012)","previouslyFormattedCitation":"(Reddy, Moodley and Jonnalagadda, 2012)"},"properties":{"noteIndex":0},"schema":"https://github.com/citation-style-language/schema/raw/master/csl-citation.json"}</w:instrText>
      </w:r>
      <w:r w:rsidRPr="0037118E">
        <w:rPr>
          <w:lang w:val="es-CO"/>
        </w:rPr>
        <w:fldChar w:fldCharType="separate"/>
      </w:r>
      <w:r w:rsidRPr="0037118E">
        <w:rPr>
          <w:noProof/>
        </w:rPr>
        <w:t>Reddy et al. (2012)</w:t>
      </w:r>
      <w:r w:rsidRPr="0037118E">
        <w:rPr>
          <w:lang w:val="es-CO"/>
        </w:rPr>
        <w:fldChar w:fldCharType="end"/>
      </w:r>
      <w:r w:rsidRPr="0037118E">
        <w:t xml:space="preserve">, in which </w:t>
      </w:r>
      <w:r w:rsidR="00F33906">
        <w:t xml:space="preserve">a </w:t>
      </w:r>
      <w:r w:rsidRPr="0037118E">
        <w:t>conversion of 64.76 % of avocado pulp into oil by solvent extraction</w:t>
      </w:r>
      <w:r w:rsidR="00F33906">
        <w:t xml:space="preserve"> </w:t>
      </w:r>
      <w:r w:rsidR="00F33906">
        <w:lastRenderedPageBreak/>
        <w:t>was achieved</w:t>
      </w:r>
      <w:r w:rsidRPr="0037118E">
        <w:t>. The process was carried out at a temperature of 69.1 °C and atmospheric pressure. An approximation of 99.34 % is obtained taking into account the value reported in the aforementioned study.</w:t>
      </w:r>
    </w:p>
    <w:p w14:paraId="163FA15A" w14:textId="17F24301" w:rsidR="00147575" w:rsidRPr="0037118E" w:rsidRDefault="00AA44E1" w:rsidP="005643EA">
      <w:pPr>
        <w:pStyle w:val="CETTabletitle"/>
        <w:rPr>
          <w:lang w:val="en-US"/>
        </w:rPr>
      </w:pPr>
      <w:r w:rsidRPr="0037118E">
        <w:t>Table 3</w:t>
      </w:r>
      <w:r w:rsidR="00D849D9">
        <w:t>:</w:t>
      </w:r>
      <w:r w:rsidRPr="0037118E">
        <w:t xml:space="preserve"> Validation of results obtained in the simulation for avocado oil</w:t>
      </w:r>
      <w:bookmarkEnd w:id="0"/>
    </w:p>
    <w:tbl>
      <w:tblPr>
        <w:tblW w:w="0" w:type="auto"/>
        <w:shd w:val="clear" w:color="auto" w:fill="FFFFFF"/>
        <w:tblCellMar>
          <w:left w:w="0" w:type="dxa"/>
          <w:right w:w="0" w:type="dxa"/>
        </w:tblCellMar>
        <w:tblLook w:val="00A0" w:firstRow="1" w:lastRow="0" w:firstColumn="1" w:lastColumn="0" w:noHBand="0" w:noVBand="0"/>
      </w:tblPr>
      <w:tblGrid>
        <w:gridCol w:w="2468"/>
        <w:gridCol w:w="1643"/>
        <w:gridCol w:w="2693"/>
        <w:gridCol w:w="1560"/>
      </w:tblGrid>
      <w:tr w:rsidR="00C143C8" w:rsidRPr="0037118E" w14:paraId="79EF8756" w14:textId="77777777" w:rsidTr="003726B4">
        <w:tc>
          <w:tcPr>
            <w:tcW w:w="2468" w:type="dxa"/>
            <w:tcBorders>
              <w:top w:val="double" w:sz="4" w:space="0" w:color="9BBB59" w:themeColor="accent3"/>
              <w:bottom w:val="single" w:sz="4" w:space="0" w:color="9BBB59" w:themeColor="accent3"/>
            </w:tcBorders>
            <w:shd w:val="clear" w:color="auto" w:fill="FFFFFF"/>
          </w:tcPr>
          <w:p w14:paraId="6D54F992" w14:textId="5E6FE15F" w:rsidR="00C143C8" w:rsidRPr="00D711A7" w:rsidRDefault="00D711A7" w:rsidP="005202A4">
            <w:pPr>
              <w:pStyle w:val="CETBodytext"/>
              <w:rPr>
                <w:rFonts w:cs="Arial"/>
                <w:b/>
                <w:bCs/>
                <w:szCs w:val="18"/>
                <w:lang w:val="en-GB"/>
              </w:rPr>
            </w:pPr>
            <w:r w:rsidRPr="00D711A7">
              <w:rPr>
                <w:rFonts w:cs="Arial"/>
                <w:b/>
                <w:bCs/>
                <w:szCs w:val="18"/>
              </w:rPr>
              <w:t>Avocado Oil</w:t>
            </w:r>
          </w:p>
        </w:tc>
        <w:tc>
          <w:tcPr>
            <w:tcW w:w="1643" w:type="dxa"/>
            <w:tcBorders>
              <w:top w:val="double" w:sz="4" w:space="0" w:color="9BBB59" w:themeColor="accent3"/>
              <w:bottom w:val="single" w:sz="4" w:space="0" w:color="9BBB59" w:themeColor="accent3"/>
            </w:tcBorders>
            <w:shd w:val="clear" w:color="auto" w:fill="FFFFFF"/>
          </w:tcPr>
          <w:p w14:paraId="6FF742C2" w14:textId="0594316E" w:rsidR="00C143C8" w:rsidRPr="0037118E" w:rsidRDefault="00C143C8" w:rsidP="005202A4">
            <w:pPr>
              <w:pStyle w:val="CETBodytext"/>
              <w:rPr>
                <w:rFonts w:cs="Arial"/>
                <w:b/>
                <w:bCs/>
                <w:szCs w:val="18"/>
              </w:rPr>
            </w:pPr>
            <w:r>
              <w:rPr>
                <w:rFonts w:cs="Arial"/>
                <w:b/>
                <w:bCs/>
                <w:szCs w:val="18"/>
              </w:rPr>
              <w:t>This work</w:t>
            </w:r>
          </w:p>
        </w:tc>
        <w:tc>
          <w:tcPr>
            <w:tcW w:w="2693" w:type="dxa"/>
            <w:tcBorders>
              <w:top w:val="double" w:sz="4" w:space="0" w:color="9BBB59" w:themeColor="accent3"/>
              <w:bottom w:val="single" w:sz="4" w:space="0" w:color="9BBB59" w:themeColor="accent3"/>
            </w:tcBorders>
            <w:shd w:val="clear" w:color="auto" w:fill="FFFFFF"/>
          </w:tcPr>
          <w:p w14:paraId="7BC8FBE4" w14:textId="5F05F6F7" w:rsidR="00C143C8" w:rsidRPr="00C143C8" w:rsidRDefault="00C143C8" w:rsidP="005202A4">
            <w:pPr>
              <w:pStyle w:val="CETBodytext"/>
              <w:rPr>
                <w:rFonts w:eastAsia="Calibri" w:cs="Arial"/>
                <w:b/>
                <w:bCs/>
                <w:szCs w:val="18"/>
                <w:lang w:eastAsia="es-CO"/>
              </w:rPr>
            </w:pPr>
            <w:r w:rsidRPr="00C143C8">
              <w:rPr>
                <w:b/>
                <w:bCs/>
                <w:lang w:val="es-CO"/>
              </w:rPr>
              <w:fldChar w:fldCharType="begin" w:fldLock="1"/>
            </w:r>
            <w:r w:rsidR="00DF3716">
              <w:rPr>
                <w:b/>
                <w:bCs/>
              </w:rPr>
              <w:instrText>ADDIN CSL_CITATION {"citationItems":[{"id":"ITEM-1","itemData":{"DOI":"10.1080/03601234.2012.665669","ISSN":"03601234","PMID":"22494376","author":[{"dropping-particle":"","family":"Reddy","given":"Mageshni","non-dropping-particle":"","parse-names":false,"suffix":""},{"dropping-particle":"","family":"Moodley","given":"Roshila","non-dropping-particle":"","parse-names":false,"suffix":""},{"dropping-particle":"","family":"Jonnalagadda","given":"Sreekanth","non-dropping-particle":"","parse-names":false,"suffix":""}],"container-title":"Journal of Environmental Science and Health - Part B Pesticides, Food Contaminants, and Agricultural Wastes","id":"ITEM-1","issue":"6","issued":{"date-parts":[["2012"]]},"page":"529-537","title":"Fatty acid profile and elemental content of avocado (Persea americana Mill.) oil -effect of extraction methods","type":"article-journal","volume":"47"},"uris":["http://www.mendeley.com/documents/?uuid=25ca720a-7817-4aac-b74e-a6bac67784f4"]}],"mendeley":{"formattedCitation":"(Reddy et al., 2012)","manualFormatting":"Reddy et al. (2012)","plainTextFormattedCitation":"(Reddy et al., 2012)","previouslyFormattedCitation":"(Reddy, Moodley and Jonnalagadda, 2012)"},"properties":{"noteIndex":0},"schema":"https://github.com/citation-style-language/schema/raw/master/csl-citation.json"}</w:instrText>
            </w:r>
            <w:r w:rsidRPr="00C143C8">
              <w:rPr>
                <w:b/>
                <w:bCs/>
                <w:lang w:val="es-CO"/>
              </w:rPr>
              <w:fldChar w:fldCharType="separate"/>
            </w:r>
            <w:r w:rsidRPr="00C143C8">
              <w:rPr>
                <w:b/>
                <w:bCs/>
                <w:noProof/>
              </w:rPr>
              <w:t>Reddy et al. (2012)</w:t>
            </w:r>
            <w:r w:rsidRPr="00C143C8">
              <w:rPr>
                <w:b/>
                <w:bCs/>
                <w:lang w:val="es-CO"/>
              </w:rPr>
              <w:fldChar w:fldCharType="end"/>
            </w:r>
          </w:p>
        </w:tc>
        <w:tc>
          <w:tcPr>
            <w:tcW w:w="1560" w:type="dxa"/>
            <w:tcBorders>
              <w:top w:val="double" w:sz="4" w:space="0" w:color="9BBB59" w:themeColor="accent3"/>
              <w:bottom w:val="single" w:sz="4" w:space="0" w:color="9BBB59" w:themeColor="accent3"/>
            </w:tcBorders>
            <w:shd w:val="clear" w:color="auto" w:fill="FFFFFF"/>
          </w:tcPr>
          <w:p w14:paraId="53442FED" w14:textId="77777777" w:rsidR="00C143C8" w:rsidRPr="0037118E" w:rsidRDefault="00C143C8" w:rsidP="005202A4">
            <w:pPr>
              <w:pStyle w:val="CETBodytext"/>
              <w:rPr>
                <w:rFonts w:eastAsia="Calibri" w:cs="Arial"/>
                <w:b/>
                <w:bCs/>
                <w:szCs w:val="18"/>
                <w:lang w:eastAsia="es-CO"/>
              </w:rPr>
            </w:pPr>
            <w:r w:rsidRPr="0037118E">
              <w:rPr>
                <w:rFonts w:eastAsia="Calibri" w:cs="Arial"/>
                <w:b/>
                <w:bCs/>
                <w:szCs w:val="18"/>
                <w:lang w:eastAsia="es-CO"/>
              </w:rPr>
              <w:t>Accuracy (%)</w:t>
            </w:r>
          </w:p>
        </w:tc>
      </w:tr>
      <w:tr w:rsidR="00C143C8" w:rsidRPr="0037118E" w14:paraId="57D1A570" w14:textId="77777777" w:rsidTr="003726B4">
        <w:tc>
          <w:tcPr>
            <w:tcW w:w="2468" w:type="dxa"/>
            <w:tcBorders>
              <w:top w:val="single" w:sz="4" w:space="0" w:color="9BBB59" w:themeColor="accent3"/>
            </w:tcBorders>
            <w:shd w:val="clear" w:color="auto" w:fill="FFFFFF"/>
          </w:tcPr>
          <w:p w14:paraId="7527F230" w14:textId="7B56E95C" w:rsidR="00C143C8" w:rsidRPr="00D711A7" w:rsidRDefault="00D711A7" w:rsidP="005202A4">
            <w:pPr>
              <w:pStyle w:val="CETBodytext"/>
              <w:rPr>
                <w:rFonts w:cs="Arial"/>
                <w:szCs w:val="18"/>
              </w:rPr>
            </w:pPr>
            <w:r w:rsidRPr="00D711A7">
              <w:rPr>
                <w:rFonts w:cs="Arial"/>
                <w:szCs w:val="18"/>
              </w:rPr>
              <w:t>Yield (%)</w:t>
            </w:r>
          </w:p>
        </w:tc>
        <w:tc>
          <w:tcPr>
            <w:tcW w:w="1643" w:type="dxa"/>
            <w:tcBorders>
              <w:top w:val="single" w:sz="4" w:space="0" w:color="9BBB59" w:themeColor="accent3"/>
            </w:tcBorders>
            <w:shd w:val="clear" w:color="auto" w:fill="FFFFFF"/>
          </w:tcPr>
          <w:p w14:paraId="188316B3" w14:textId="77777777" w:rsidR="00C143C8" w:rsidRPr="0037118E" w:rsidRDefault="00C143C8" w:rsidP="005202A4">
            <w:pPr>
              <w:pStyle w:val="CETBodytext"/>
              <w:rPr>
                <w:rFonts w:cs="Arial"/>
                <w:szCs w:val="18"/>
                <w:lang w:val="en-GB"/>
              </w:rPr>
            </w:pPr>
            <w:r w:rsidRPr="0037118E">
              <w:rPr>
                <w:rFonts w:cs="Arial"/>
                <w:szCs w:val="18"/>
                <w:lang w:val="en-GB"/>
              </w:rPr>
              <w:t>65.19 %</w:t>
            </w:r>
          </w:p>
        </w:tc>
        <w:tc>
          <w:tcPr>
            <w:tcW w:w="2693" w:type="dxa"/>
            <w:tcBorders>
              <w:top w:val="single" w:sz="4" w:space="0" w:color="9BBB59" w:themeColor="accent3"/>
            </w:tcBorders>
            <w:shd w:val="clear" w:color="auto" w:fill="FFFFFF"/>
          </w:tcPr>
          <w:p w14:paraId="780A7CDB" w14:textId="77777777" w:rsidR="00C143C8" w:rsidRPr="0037118E" w:rsidRDefault="00C143C8" w:rsidP="005202A4">
            <w:pPr>
              <w:pStyle w:val="CETBodytext"/>
              <w:rPr>
                <w:rFonts w:eastAsia="Calibri" w:cs="Arial"/>
                <w:szCs w:val="18"/>
                <w:lang w:eastAsia="es-CO"/>
              </w:rPr>
            </w:pPr>
            <w:r w:rsidRPr="0037118E">
              <w:rPr>
                <w:rFonts w:eastAsia="Calibri" w:cs="Arial"/>
                <w:szCs w:val="18"/>
                <w:lang w:eastAsia="es-CO"/>
              </w:rPr>
              <w:t>64.76 %</w:t>
            </w:r>
          </w:p>
        </w:tc>
        <w:tc>
          <w:tcPr>
            <w:tcW w:w="1560" w:type="dxa"/>
            <w:tcBorders>
              <w:top w:val="single" w:sz="4" w:space="0" w:color="9BBB59" w:themeColor="accent3"/>
            </w:tcBorders>
            <w:shd w:val="clear" w:color="auto" w:fill="FFFFFF"/>
          </w:tcPr>
          <w:p w14:paraId="4B1AA250" w14:textId="77777777" w:rsidR="00C143C8" w:rsidRPr="0037118E" w:rsidRDefault="00C143C8" w:rsidP="005202A4">
            <w:pPr>
              <w:pStyle w:val="CETBodytext"/>
              <w:rPr>
                <w:rFonts w:eastAsia="Calibri" w:cs="Arial"/>
                <w:szCs w:val="18"/>
                <w:lang w:eastAsia="es-CO"/>
              </w:rPr>
            </w:pPr>
            <w:r w:rsidRPr="0037118E">
              <w:rPr>
                <w:rFonts w:eastAsia="Calibri" w:cs="Arial"/>
                <w:szCs w:val="18"/>
                <w:lang w:eastAsia="es-CO"/>
              </w:rPr>
              <w:t>99.34 %</w:t>
            </w:r>
          </w:p>
        </w:tc>
      </w:tr>
      <w:tr w:rsidR="00C143C8" w:rsidRPr="0037118E" w14:paraId="0BA52740" w14:textId="77777777" w:rsidTr="008D557D">
        <w:trPr>
          <w:trHeight w:val="197"/>
        </w:trPr>
        <w:tc>
          <w:tcPr>
            <w:tcW w:w="2468" w:type="dxa"/>
            <w:shd w:val="clear" w:color="auto" w:fill="FFFFFF"/>
          </w:tcPr>
          <w:p w14:paraId="20C49361" w14:textId="222CB2E7" w:rsidR="00C143C8" w:rsidRPr="00C143C8" w:rsidRDefault="00C143C8" w:rsidP="005202A4">
            <w:pPr>
              <w:pStyle w:val="CETBodytext"/>
              <w:rPr>
                <w:rFonts w:cs="Arial"/>
                <w:szCs w:val="18"/>
              </w:rPr>
            </w:pPr>
            <w:r w:rsidRPr="00C143C8">
              <w:rPr>
                <w:rFonts w:cs="Arial"/>
                <w:b/>
                <w:bCs/>
                <w:szCs w:val="18"/>
              </w:rPr>
              <w:t>Property</w:t>
            </w:r>
          </w:p>
        </w:tc>
        <w:tc>
          <w:tcPr>
            <w:tcW w:w="1643" w:type="dxa"/>
            <w:shd w:val="clear" w:color="auto" w:fill="FFFFFF"/>
          </w:tcPr>
          <w:p w14:paraId="3056B3FA" w14:textId="7589C6DF" w:rsidR="00C143C8" w:rsidRPr="00AB2B14" w:rsidRDefault="00C143C8" w:rsidP="005202A4">
            <w:pPr>
              <w:pStyle w:val="CETBodytext"/>
              <w:rPr>
                <w:rFonts w:cs="Arial"/>
                <w:b/>
                <w:bCs/>
                <w:szCs w:val="18"/>
                <w:lang w:val="en-GB"/>
              </w:rPr>
            </w:pPr>
            <w:r w:rsidRPr="00AB2B14">
              <w:rPr>
                <w:rFonts w:cs="Arial"/>
                <w:b/>
                <w:bCs/>
                <w:szCs w:val="18"/>
                <w:lang w:val="en-GB"/>
              </w:rPr>
              <w:t>This work</w:t>
            </w:r>
          </w:p>
        </w:tc>
        <w:tc>
          <w:tcPr>
            <w:tcW w:w="2693" w:type="dxa"/>
            <w:shd w:val="clear" w:color="auto" w:fill="FFFFFF"/>
          </w:tcPr>
          <w:p w14:paraId="09433918" w14:textId="683AC677" w:rsidR="00C143C8" w:rsidRPr="003726B4" w:rsidRDefault="003726B4" w:rsidP="005202A4">
            <w:pPr>
              <w:pStyle w:val="CETBodytext"/>
              <w:rPr>
                <w:rFonts w:eastAsia="Calibri" w:cs="Arial"/>
                <w:b/>
                <w:bCs/>
                <w:szCs w:val="18"/>
                <w:lang w:eastAsia="es-CO"/>
              </w:rPr>
            </w:pPr>
            <w:r w:rsidRPr="003726B4">
              <w:rPr>
                <w:rFonts w:eastAsia="Calibri" w:cs="Arial"/>
                <w:b/>
                <w:bCs/>
                <w:szCs w:val="18"/>
                <w:lang w:eastAsia="es-CO"/>
              </w:rPr>
              <w:fldChar w:fldCharType="begin" w:fldLock="1"/>
            </w:r>
            <w:r w:rsidR="00DF3716">
              <w:rPr>
                <w:rFonts w:eastAsia="Calibri" w:cs="Arial"/>
                <w:b/>
                <w:bCs/>
                <w:szCs w:val="18"/>
                <w:lang w:eastAsia="es-CO"/>
              </w:rPr>
              <w:instrText>ADDIN CSL_CITATION {"citationItems":[{"id":"ITEM-1","itemData":{"author":[{"dropping-particle":"","family":"Macías","given":"Diego","non-dropping-particle":"","parse-names":false,"suffix":""},{"dropping-particle":"","family":"Rodríguez","given":"Diego","non-dropping-particle":"","parse-names":false,"suffix":""}],"container-title":"Ingeniería de Alimentos","id":"ITEM-1","issued":{"date-parts":[["2021"]]},"page":"104","title":"Sustitución de grasa por aceite de aguacate en la elaboración de salchicha tipo Frankfurt","type":"article-journal"},"uris":["http://www.mendeley.com/documents/?uuid=ce612405-2546-4895-ba45-5c4524fce84b"]}],"mendeley":{"formattedCitation":"(Macías &amp; Rodríguez, 2021)","manualFormatting":"Macías and Rodríguez (2021)","plainTextFormattedCitation":"(Macías &amp; Rodríguez, 2021)","previouslyFormattedCitation":"(Macías and Rodríguez, 2021)"},"properties":{"noteIndex":0},"schema":"https://github.com/citation-style-language/schema/raw/master/csl-citation.json"}</w:instrText>
            </w:r>
            <w:r w:rsidRPr="003726B4">
              <w:rPr>
                <w:rFonts w:eastAsia="Calibri" w:cs="Arial"/>
                <w:b/>
                <w:bCs/>
                <w:szCs w:val="18"/>
                <w:lang w:eastAsia="es-CO"/>
              </w:rPr>
              <w:fldChar w:fldCharType="separate"/>
            </w:r>
            <w:r w:rsidRPr="003726B4">
              <w:rPr>
                <w:rFonts w:eastAsia="Calibri" w:cs="Arial"/>
                <w:b/>
                <w:bCs/>
                <w:noProof/>
                <w:szCs w:val="18"/>
                <w:lang w:eastAsia="es-CO"/>
              </w:rPr>
              <w:t xml:space="preserve">Macías and Rodríguez </w:t>
            </w:r>
            <w:r>
              <w:rPr>
                <w:rFonts w:eastAsia="Calibri" w:cs="Arial"/>
                <w:b/>
                <w:bCs/>
                <w:noProof/>
                <w:szCs w:val="18"/>
                <w:lang w:eastAsia="es-CO"/>
              </w:rPr>
              <w:t>(</w:t>
            </w:r>
            <w:r w:rsidRPr="003726B4">
              <w:rPr>
                <w:rFonts w:eastAsia="Calibri" w:cs="Arial"/>
                <w:b/>
                <w:bCs/>
                <w:noProof/>
                <w:szCs w:val="18"/>
                <w:lang w:eastAsia="es-CO"/>
              </w:rPr>
              <w:t>2021)</w:t>
            </w:r>
            <w:r w:rsidRPr="003726B4">
              <w:rPr>
                <w:rFonts w:eastAsia="Calibri" w:cs="Arial"/>
                <w:b/>
                <w:bCs/>
                <w:szCs w:val="18"/>
                <w:lang w:eastAsia="es-CO"/>
              </w:rPr>
              <w:fldChar w:fldCharType="end"/>
            </w:r>
          </w:p>
        </w:tc>
        <w:tc>
          <w:tcPr>
            <w:tcW w:w="1560" w:type="dxa"/>
            <w:shd w:val="clear" w:color="auto" w:fill="FFFFFF"/>
          </w:tcPr>
          <w:p w14:paraId="474A622D" w14:textId="77777777" w:rsidR="00C143C8" w:rsidRPr="00AB2B14" w:rsidRDefault="00C143C8" w:rsidP="005202A4">
            <w:pPr>
              <w:pStyle w:val="CETBodytext"/>
              <w:rPr>
                <w:rFonts w:eastAsia="Calibri" w:cs="Arial"/>
                <w:b/>
                <w:bCs/>
                <w:szCs w:val="18"/>
                <w:lang w:eastAsia="es-CO"/>
              </w:rPr>
            </w:pPr>
            <w:r w:rsidRPr="00AB2B14">
              <w:rPr>
                <w:rFonts w:eastAsia="Calibri" w:cs="Arial"/>
                <w:b/>
                <w:bCs/>
                <w:szCs w:val="18"/>
                <w:lang w:eastAsia="es-CO"/>
              </w:rPr>
              <w:t>Accuracy (%)</w:t>
            </w:r>
          </w:p>
        </w:tc>
      </w:tr>
      <w:tr w:rsidR="00D711A7" w:rsidRPr="0037118E" w14:paraId="05632C2B" w14:textId="77777777" w:rsidTr="003726B4">
        <w:tc>
          <w:tcPr>
            <w:tcW w:w="2468" w:type="dxa"/>
            <w:tcBorders>
              <w:bottom w:val="single" w:sz="4" w:space="0" w:color="9BBB59" w:themeColor="accent3"/>
            </w:tcBorders>
            <w:shd w:val="clear" w:color="auto" w:fill="FFFFFF"/>
          </w:tcPr>
          <w:p w14:paraId="59DF7FFD" w14:textId="679191E8" w:rsidR="00D711A7" w:rsidRPr="0037118E" w:rsidRDefault="00D711A7" w:rsidP="00D711A7">
            <w:pPr>
              <w:pStyle w:val="CETBodytext"/>
              <w:rPr>
                <w:rFonts w:cs="Arial"/>
                <w:szCs w:val="18"/>
              </w:rPr>
            </w:pPr>
            <w:r w:rsidRPr="0037118E">
              <w:rPr>
                <w:rFonts w:eastAsia="Calibri" w:cs="Arial"/>
                <w:szCs w:val="18"/>
                <w:lang w:eastAsia="es-CO"/>
              </w:rPr>
              <w:t>Density (g/cm</w:t>
            </w:r>
            <w:r w:rsidRPr="0037118E">
              <w:rPr>
                <w:rFonts w:eastAsia="Calibri" w:cs="Arial"/>
                <w:szCs w:val="18"/>
                <w:vertAlign w:val="superscript"/>
                <w:lang w:eastAsia="es-CO"/>
              </w:rPr>
              <w:t>3</w:t>
            </w:r>
            <w:r w:rsidRPr="0037118E">
              <w:rPr>
                <w:rFonts w:eastAsia="Calibri" w:cs="Arial"/>
                <w:szCs w:val="18"/>
                <w:lang w:eastAsia="es-CO"/>
              </w:rPr>
              <w:t>)</w:t>
            </w:r>
          </w:p>
        </w:tc>
        <w:tc>
          <w:tcPr>
            <w:tcW w:w="1643" w:type="dxa"/>
            <w:tcBorders>
              <w:bottom w:val="single" w:sz="4" w:space="0" w:color="9BBB59" w:themeColor="accent3"/>
            </w:tcBorders>
            <w:shd w:val="clear" w:color="auto" w:fill="FFFFFF"/>
          </w:tcPr>
          <w:p w14:paraId="6E3E0086" w14:textId="3DE93E01" w:rsidR="00D711A7" w:rsidRPr="00AB2B14" w:rsidRDefault="00D711A7" w:rsidP="00D711A7">
            <w:pPr>
              <w:pStyle w:val="CETBodytext"/>
              <w:rPr>
                <w:rFonts w:cs="Arial"/>
                <w:szCs w:val="18"/>
                <w:lang w:val="en-GB"/>
              </w:rPr>
            </w:pPr>
            <w:r w:rsidRPr="00AB2B14">
              <w:rPr>
                <w:rFonts w:eastAsia="Calibri" w:cs="Arial"/>
                <w:szCs w:val="18"/>
                <w:lang w:eastAsia="es-CO"/>
              </w:rPr>
              <w:t>0.</w:t>
            </w:r>
            <w:r w:rsidR="00967006" w:rsidRPr="00AB2B14">
              <w:rPr>
                <w:rFonts w:eastAsia="Calibri" w:cs="Arial"/>
                <w:szCs w:val="18"/>
                <w:lang w:eastAsia="es-CO"/>
              </w:rPr>
              <w:t>881</w:t>
            </w:r>
          </w:p>
        </w:tc>
        <w:tc>
          <w:tcPr>
            <w:tcW w:w="2693" w:type="dxa"/>
            <w:tcBorders>
              <w:bottom w:val="single" w:sz="4" w:space="0" w:color="9BBB59" w:themeColor="accent3"/>
            </w:tcBorders>
            <w:shd w:val="clear" w:color="auto" w:fill="FFFFFF"/>
          </w:tcPr>
          <w:p w14:paraId="5BA6F8EF" w14:textId="15FA7164" w:rsidR="00D711A7" w:rsidRPr="00AB2B14" w:rsidRDefault="00D711A7" w:rsidP="00D711A7">
            <w:pPr>
              <w:pStyle w:val="CETBodytext"/>
              <w:rPr>
                <w:rFonts w:eastAsia="Calibri" w:cs="Arial"/>
                <w:szCs w:val="18"/>
                <w:lang w:eastAsia="es-CO"/>
              </w:rPr>
            </w:pPr>
            <w:r w:rsidRPr="00AB2B14">
              <w:rPr>
                <w:rFonts w:eastAsia="Calibri" w:cs="Arial"/>
                <w:szCs w:val="18"/>
                <w:lang w:eastAsia="es-CO"/>
              </w:rPr>
              <w:t>0.</w:t>
            </w:r>
            <w:r w:rsidR="00967006" w:rsidRPr="00AB2B14">
              <w:rPr>
                <w:rFonts w:eastAsia="Calibri" w:cs="Arial"/>
                <w:szCs w:val="18"/>
                <w:lang w:eastAsia="es-CO"/>
              </w:rPr>
              <w:t>896</w:t>
            </w:r>
            <w:r w:rsidRPr="00AB2B14">
              <w:rPr>
                <w:rFonts w:eastAsia="Calibri" w:cs="Arial"/>
                <w:szCs w:val="18"/>
                <w:lang w:eastAsia="es-CO"/>
              </w:rPr>
              <w:t xml:space="preserve"> </w:t>
            </w:r>
          </w:p>
        </w:tc>
        <w:tc>
          <w:tcPr>
            <w:tcW w:w="1560" w:type="dxa"/>
            <w:tcBorders>
              <w:bottom w:val="single" w:sz="4" w:space="0" w:color="9BBB59" w:themeColor="accent3"/>
            </w:tcBorders>
            <w:shd w:val="clear" w:color="auto" w:fill="FFFFFF"/>
          </w:tcPr>
          <w:p w14:paraId="787A42D7" w14:textId="54348C41" w:rsidR="00D711A7" w:rsidRPr="00AB2B14" w:rsidRDefault="00AB2B14" w:rsidP="00D711A7">
            <w:pPr>
              <w:pStyle w:val="CETBodytext"/>
              <w:rPr>
                <w:rFonts w:eastAsia="Calibri" w:cs="Arial"/>
                <w:szCs w:val="18"/>
                <w:lang w:eastAsia="es-CO"/>
              </w:rPr>
            </w:pPr>
            <w:r w:rsidRPr="00AB2B14">
              <w:rPr>
                <w:rFonts w:eastAsia="Calibri" w:cs="Arial"/>
                <w:szCs w:val="18"/>
                <w:lang w:val="es-CO" w:eastAsia="es-CO"/>
              </w:rPr>
              <w:t>98.29</w:t>
            </w:r>
            <w:r w:rsidR="00D711A7" w:rsidRPr="00AB2B14">
              <w:rPr>
                <w:rFonts w:eastAsia="Calibri" w:cs="Arial"/>
                <w:szCs w:val="18"/>
                <w:lang w:val="es-CO" w:eastAsia="es-CO"/>
              </w:rPr>
              <w:t xml:space="preserve"> %</w:t>
            </w:r>
          </w:p>
        </w:tc>
      </w:tr>
    </w:tbl>
    <w:p w14:paraId="79C09D06" w14:textId="77777777" w:rsidR="00C143C8" w:rsidRPr="0037118E" w:rsidRDefault="00C143C8" w:rsidP="003F0A86">
      <w:pPr>
        <w:pStyle w:val="CETBodytext"/>
        <w:rPr>
          <w:lang w:val="es-CO"/>
        </w:rPr>
      </w:pPr>
    </w:p>
    <w:p w14:paraId="35CEDA25" w14:textId="58B5B1FD" w:rsidR="0037118E" w:rsidRPr="0037118E" w:rsidRDefault="00AA44E1" w:rsidP="0037118E">
      <w:pPr>
        <w:pStyle w:val="CETBodytext"/>
      </w:pPr>
      <w:r w:rsidRPr="0037118E">
        <w:t xml:space="preserve">Likewise, to validate the results of the simulation, the value of the density of the oil provided by the Aspen plus software was compared with those reported in the literature. As seen in Table 3, </w:t>
      </w:r>
      <w:r w:rsidR="00A13ED9" w:rsidRPr="00A13ED9">
        <w:t xml:space="preserve">the density of the simulated avocado oil is below the value reported by </w:t>
      </w:r>
      <w:r w:rsidR="00A13ED9">
        <w:fldChar w:fldCharType="begin" w:fldLock="1"/>
      </w:r>
      <w:r w:rsidR="00DF3716">
        <w:instrText>ADDIN CSL_CITATION {"citationItems":[{"id":"ITEM-1","itemData":{"author":[{"dropping-particle":"","family":"Macías","given":"Diego","non-dropping-particle":"","parse-names":false,"suffix":""},{"dropping-particle":"","family":"Rodríguez","given":"Diego","non-dropping-particle":"","parse-names":false,"suffix":""}],"container-title":"Ingeniería de Alimentos","id":"ITEM-1","issued":{"date-parts":[["2021"]]},"page":"104","title":"Sustitución de grasa por aceite de aguacate en la elaboración de salchicha tipo Frankfurt","type":"article-journal"},"uris":["http://www.mendeley.com/documents/?uuid=ce612405-2546-4895-ba45-5c4524fce84b"]}],"mendeley":{"formattedCitation":"(Macías &amp; Rodríguez, 2021)","manualFormatting":"(Macías and Rodríguez, 2021)","plainTextFormattedCitation":"(Macías &amp; Rodríguez, 2021)","previouslyFormattedCitation":"(Macías and Rodríguez, 2021)"},"properties":{"noteIndex":0},"schema":"https://github.com/citation-style-language/schema/raw/master/csl-citation.json"}</w:instrText>
      </w:r>
      <w:r w:rsidR="00A13ED9">
        <w:fldChar w:fldCharType="separate"/>
      </w:r>
      <w:r w:rsidR="00DF3716" w:rsidRPr="00DF3716">
        <w:rPr>
          <w:noProof/>
        </w:rPr>
        <w:t xml:space="preserve">(Macías </w:t>
      </w:r>
      <w:r w:rsidR="00DF3716">
        <w:rPr>
          <w:noProof/>
        </w:rPr>
        <w:t>and</w:t>
      </w:r>
      <w:r w:rsidR="00DF3716" w:rsidRPr="00DF3716">
        <w:rPr>
          <w:noProof/>
        </w:rPr>
        <w:t xml:space="preserve"> Rodríguez, 2021)</w:t>
      </w:r>
      <w:r w:rsidR="00A13ED9">
        <w:fldChar w:fldCharType="end"/>
      </w:r>
      <w:r w:rsidR="00A13ED9" w:rsidRPr="00A13ED9">
        <w:t>, in which the avocado pulp is heated to extract the oil present in it</w:t>
      </w:r>
      <w:r w:rsidR="00B82F96" w:rsidRPr="00B82F96">
        <w:t>; the density was evaluated at a temperature of 25 °C.</w:t>
      </w:r>
      <w:r w:rsidR="00B82F96">
        <w:t xml:space="preserve"> </w:t>
      </w:r>
      <w:r w:rsidRPr="0037118E">
        <w:t>The approximation obtained for this property concerning that of the literature is 9</w:t>
      </w:r>
      <w:r w:rsidR="00573F52">
        <w:t>8</w:t>
      </w:r>
      <w:r w:rsidRPr="0037118E">
        <w:t>.</w:t>
      </w:r>
      <w:r w:rsidR="00573F52">
        <w:t>29</w:t>
      </w:r>
      <w:r w:rsidRPr="0037118E">
        <w:t xml:space="preserve"> %, showing that the considerations, thermodynamic models, and strategies used in this simulation give good results, since a density similar to that reported in other studies is observed. It should be noted that in many of the consulted investigations other types of properties are reported for this product, such as saponification index, acidity, iodine, among others, but some of them do not appear in the database of the software used or did not show results.</w:t>
      </w:r>
    </w:p>
    <w:p w14:paraId="5B938BE4" w14:textId="2E5D02BE" w:rsidR="00C128A0" w:rsidRPr="00AA44E1" w:rsidRDefault="00AA44E1" w:rsidP="00F02DDE">
      <w:pPr>
        <w:pStyle w:val="CETTabletitle"/>
        <w:rPr>
          <w:lang w:val="en-US"/>
        </w:rPr>
      </w:pPr>
      <w:r w:rsidRPr="0037118E">
        <w:rPr>
          <w:lang w:val="en-US"/>
        </w:rPr>
        <w:t xml:space="preserve">Table </w:t>
      </w:r>
      <w:r w:rsidR="0028413F" w:rsidRPr="0037118E">
        <w:rPr>
          <w:lang w:val="en-US"/>
        </w:rPr>
        <w:t>4</w:t>
      </w:r>
      <w:r w:rsidR="00D849D9">
        <w:rPr>
          <w:lang w:val="en-US"/>
        </w:rPr>
        <w:t>:</w:t>
      </w:r>
      <w:r w:rsidRPr="0037118E">
        <w:rPr>
          <w:lang w:val="en-US"/>
        </w:rPr>
        <w:t xml:space="preserve"> </w:t>
      </w:r>
      <w:r w:rsidR="00F33906">
        <w:rPr>
          <w:lang w:val="en-US"/>
        </w:rPr>
        <w:t>validation</w:t>
      </w:r>
      <w:r w:rsidR="0037118E" w:rsidRPr="0037118E">
        <w:rPr>
          <w:lang w:val="en-US"/>
        </w:rPr>
        <w:t xml:space="preserve"> of </w:t>
      </w:r>
      <w:r w:rsidR="000370E3">
        <w:rPr>
          <w:lang w:val="en-US"/>
        </w:rPr>
        <w:t xml:space="preserve">properties </w:t>
      </w:r>
      <w:r w:rsidR="0037118E" w:rsidRPr="0037118E">
        <w:rPr>
          <w:lang w:val="en-US"/>
        </w:rPr>
        <w:t>of fatty acids present in avocado oil</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994"/>
        <w:gridCol w:w="2022"/>
        <w:gridCol w:w="1992"/>
        <w:gridCol w:w="1779"/>
      </w:tblGrid>
      <w:tr w:rsidR="00FE63EB" w14:paraId="004F9D07" w14:textId="77777777" w:rsidTr="00C128A0">
        <w:tc>
          <w:tcPr>
            <w:tcW w:w="8787" w:type="dxa"/>
            <w:gridSpan w:val="4"/>
            <w:tcBorders>
              <w:top w:val="double" w:sz="4" w:space="0" w:color="9BBB59" w:themeColor="accent3"/>
              <w:bottom w:val="double" w:sz="4" w:space="0" w:color="9BBB59" w:themeColor="accent3"/>
            </w:tcBorders>
            <w:shd w:val="clear" w:color="auto" w:fill="FFFFFF"/>
          </w:tcPr>
          <w:p w14:paraId="466A8A7C" w14:textId="5D23082F" w:rsidR="00AA37D9" w:rsidRPr="004456BB" w:rsidRDefault="00AA44E1" w:rsidP="00464902">
            <w:pPr>
              <w:pStyle w:val="CETBodytext"/>
              <w:rPr>
                <w:rFonts w:eastAsia="Calibri" w:cs="Arial"/>
                <w:b/>
                <w:bCs/>
                <w:color w:val="000000"/>
                <w:szCs w:val="18"/>
                <w:lang w:eastAsia="es-CO"/>
              </w:rPr>
            </w:pPr>
            <w:r w:rsidRPr="004456BB">
              <w:rPr>
                <w:rFonts w:cs="Arial"/>
                <w:b/>
                <w:bCs/>
                <w:color w:val="000000"/>
                <w:szCs w:val="18"/>
                <w:lang w:eastAsia="es-CO"/>
              </w:rPr>
              <w:t>Density (g/cm</w:t>
            </w:r>
            <w:r w:rsidRPr="004456BB">
              <w:rPr>
                <w:rFonts w:cs="Arial"/>
                <w:b/>
                <w:bCs/>
                <w:color w:val="000000"/>
                <w:szCs w:val="18"/>
                <w:vertAlign w:val="superscript"/>
                <w:lang w:eastAsia="es-CO"/>
              </w:rPr>
              <w:t>3</w:t>
            </w:r>
            <w:r w:rsidRPr="004456BB">
              <w:rPr>
                <w:rFonts w:cs="Arial"/>
                <w:b/>
                <w:bCs/>
                <w:color w:val="000000"/>
                <w:szCs w:val="18"/>
                <w:lang w:eastAsia="es-CO"/>
              </w:rPr>
              <w:t>)</w:t>
            </w:r>
          </w:p>
        </w:tc>
      </w:tr>
      <w:tr w:rsidR="00FE63EB" w14:paraId="2A731BC2" w14:textId="77777777" w:rsidTr="00C128A0">
        <w:tc>
          <w:tcPr>
            <w:tcW w:w="2994" w:type="dxa"/>
            <w:tcBorders>
              <w:bottom w:val="single" w:sz="4" w:space="0" w:color="9BBB59" w:themeColor="accent3"/>
            </w:tcBorders>
            <w:shd w:val="clear" w:color="auto" w:fill="FFFFFF"/>
          </w:tcPr>
          <w:p w14:paraId="0947D131" w14:textId="77777777" w:rsidR="00AA37D9" w:rsidRPr="004456BB" w:rsidRDefault="00AA44E1" w:rsidP="00464902">
            <w:pPr>
              <w:pStyle w:val="CETBodytext"/>
              <w:rPr>
                <w:rFonts w:eastAsia="Calibri" w:cs="Arial"/>
                <w:color w:val="000000"/>
                <w:szCs w:val="18"/>
                <w:lang w:eastAsia="es-CO"/>
              </w:rPr>
            </w:pPr>
            <w:r w:rsidRPr="004456BB">
              <w:rPr>
                <w:rFonts w:eastAsia="Calibri" w:cs="Arial"/>
                <w:color w:val="000000"/>
                <w:szCs w:val="18"/>
                <w:lang w:eastAsia="es-CO"/>
              </w:rPr>
              <w:t>Fatty acids</w:t>
            </w:r>
          </w:p>
        </w:tc>
        <w:tc>
          <w:tcPr>
            <w:tcW w:w="2022" w:type="dxa"/>
            <w:tcBorders>
              <w:bottom w:val="single" w:sz="4" w:space="0" w:color="9BBB59" w:themeColor="accent3"/>
            </w:tcBorders>
            <w:shd w:val="clear" w:color="auto" w:fill="FFFFFF"/>
          </w:tcPr>
          <w:p w14:paraId="2330E865" w14:textId="77777777" w:rsidR="00AA37D9" w:rsidRPr="004456BB" w:rsidRDefault="00AA44E1" w:rsidP="00464902">
            <w:pPr>
              <w:pStyle w:val="CETBodytext"/>
              <w:rPr>
                <w:rFonts w:eastAsia="Calibri" w:cs="Arial"/>
                <w:color w:val="000000"/>
                <w:szCs w:val="18"/>
                <w:lang w:eastAsia="es-CO"/>
              </w:rPr>
            </w:pPr>
            <w:r w:rsidRPr="004456BB">
              <w:rPr>
                <w:rFonts w:eastAsia="Calibri" w:cs="Arial"/>
                <w:color w:val="000000"/>
                <w:szCs w:val="18"/>
                <w:lang w:eastAsia="es-CO"/>
              </w:rPr>
              <w:t>This work</w:t>
            </w:r>
          </w:p>
        </w:tc>
        <w:tc>
          <w:tcPr>
            <w:tcW w:w="1992" w:type="dxa"/>
            <w:tcBorders>
              <w:bottom w:val="single" w:sz="4" w:space="0" w:color="9BBB59" w:themeColor="accent3"/>
            </w:tcBorders>
            <w:shd w:val="clear" w:color="auto" w:fill="FFFFFF"/>
          </w:tcPr>
          <w:p w14:paraId="26503743" w14:textId="3388D379" w:rsidR="00AA37D9" w:rsidRPr="004456BB" w:rsidRDefault="00AA44E1" w:rsidP="00464902">
            <w:pPr>
              <w:pStyle w:val="CETBodytext"/>
              <w:rPr>
                <w:rFonts w:eastAsia="Calibri" w:cs="Arial"/>
                <w:color w:val="000000"/>
                <w:szCs w:val="18"/>
                <w:lang w:eastAsia="es-CO"/>
              </w:rPr>
            </w:pPr>
            <w:r w:rsidRPr="004456BB">
              <w:rPr>
                <w:rFonts w:eastAsia="Calibri" w:cs="Arial"/>
                <w:color w:val="000000"/>
                <w:szCs w:val="18"/>
                <w:lang w:eastAsia="es-CO"/>
              </w:rPr>
              <w:fldChar w:fldCharType="begin" w:fldLock="1"/>
            </w:r>
            <w:r w:rsidR="00DF3716">
              <w:rPr>
                <w:rFonts w:eastAsia="Calibri" w:cs="Arial"/>
                <w:color w:val="000000"/>
                <w:szCs w:val="18"/>
                <w:lang w:eastAsia="es-CO"/>
              </w:rPr>
              <w:instrText>ADDIN CSL_CITATION {"citationItems":[{"id":"ITEM-1","itemData":{"author":[{"dropping-particle":"","family":"Cedeño","given":"Fidel","non-dropping-particle":"","parse-names":false,"suffix":""},{"dropping-particle":"","family":"Prieto","given":"Manuela","non-dropping-particle":"","parse-names":false,"suffix":""},{"dropping-particle":"","family":"Bada","given":"Juan","non-dropping-particle":"","parse-names":false,"suffix":""},{"dropping-particle":"","family":"Suárez","given":"Rafael","non-dropping-particle":"","parse-names":false,"suffix":""}],"container-title":"Grasas y aceites","id":"ITEM-1","issued":{"date-parts":[["1999"]]},"page":"359-368","title":"Estudio de la densidad y de la viscosidad de algunos ácidos grasos puros","type":"article-journal","volume":"50"},"uris":["http://www.mendeley.com/documents/?uuid=76bc6af3-18eb-48d0-86ea-7450b2442bbf"]}],"mendeley":{"formattedCitation":"(Cedeño et al., 1999)","manualFormatting":"Cedeño et al. (1999)","plainTextFormattedCitation":"(Cedeño et al., 1999)","previouslyFormattedCitation":"(Cedeño &lt;i&gt;et al.&lt;/i&gt;, 1999)"},"properties":{"noteIndex":0},"schema":"https://github.com/citation-style-language/schema/raw/master/csl-citation.json"}</w:instrText>
            </w:r>
            <w:r w:rsidRPr="004456BB">
              <w:rPr>
                <w:rFonts w:eastAsia="Calibri" w:cs="Arial"/>
                <w:color w:val="000000"/>
                <w:szCs w:val="18"/>
                <w:lang w:eastAsia="es-CO"/>
              </w:rPr>
              <w:fldChar w:fldCharType="separate"/>
            </w:r>
            <w:r w:rsidRPr="004456BB">
              <w:rPr>
                <w:rFonts w:eastAsia="Calibri" w:cs="Arial"/>
                <w:noProof/>
                <w:color w:val="000000"/>
                <w:szCs w:val="18"/>
                <w:lang w:eastAsia="es-CO"/>
              </w:rPr>
              <w:t>Cedeño et al. (1999)</w:t>
            </w:r>
            <w:r w:rsidRPr="004456BB">
              <w:rPr>
                <w:rFonts w:eastAsia="Calibri" w:cs="Arial"/>
                <w:color w:val="000000"/>
                <w:szCs w:val="18"/>
                <w:lang w:eastAsia="es-CO"/>
              </w:rPr>
              <w:fldChar w:fldCharType="end"/>
            </w:r>
          </w:p>
        </w:tc>
        <w:tc>
          <w:tcPr>
            <w:tcW w:w="1779" w:type="dxa"/>
            <w:tcBorders>
              <w:bottom w:val="single" w:sz="4" w:space="0" w:color="9BBB59" w:themeColor="accent3"/>
            </w:tcBorders>
            <w:shd w:val="clear" w:color="auto" w:fill="FFFFFF"/>
          </w:tcPr>
          <w:p w14:paraId="6E64C1FE" w14:textId="77777777" w:rsidR="00AA37D9" w:rsidRPr="004456BB" w:rsidRDefault="00AA44E1" w:rsidP="00464902">
            <w:pPr>
              <w:pStyle w:val="CETBodytext"/>
              <w:rPr>
                <w:rFonts w:eastAsia="Calibri" w:cs="Arial"/>
                <w:color w:val="000000"/>
                <w:szCs w:val="18"/>
                <w:lang w:eastAsia="es-CO"/>
              </w:rPr>
            </w:pPr>
            <w:r w:rsidRPr="004456BB">
              <w:rPr>
                <w:rFonts w:eastAsia="Calibri" w:cs="Arial"/>
                <w:color w:val="000000"/>
                <w:szCs w:val="18"/>
                <w:lang w:eastAsia="es-CO"/>
              </w:rPr>
              <w:t>Accuracy (%)</w:t>
            </w:r>
          </w:p>
        </w:tc>
      </w:tr>
      <w:tr w:rsidR="00FE63EB" w14:paraId="49C71AA1" w14:textId="77777777" w:rsidTr="00C128A0">
        <w:tc>
          <w:tcPr>
            <w:tcW w:w="2994" w:type="dxa"/>
            <w:tcBorders>
              <w:top w:val="single" w:sz="4" w:space="0" w:color="9BBB59" w:themeColor="accent3"/>
            </w:tcBorders>
            <w:shd w:val="clear" w:color="auto" w:fill="FFFFFF"/>
          </w:tcPr>
          <w:p w14:paraId="1CFCA1B1" w14:textId="77777777" w:rsidR="000D0C83" w:rsidRPr="004456BB" w:rsidRDefault="00AA44E1" w:rsidP="000D0C83">
            <w:pPr>
              <w:pStyle w:val="CETBodytext"/>
              <w:rPr>
                <w:rFonts w:eastAsia="Calibri" w:cs="Arial"/>
                <w:color w:val="000000"/>
                <w:szCs w:val="18"/>
                <w:lang w:eastAsia="es-CO"/>
              </w:rPr>
            </w:pPr>
            <w:r w:rsidRPr="004456BB">
              <w:rPr>
                <w:rFonts w:eastAsia="Calibri" w:cs="Arial"/>
                <w:color w:val="000000"/>
                <w:szCs w:val="18"/>
                <w:lang w:eastAsia="es-CO"/>
              </w:rPr>
              <w:t>Palmitic</w:t>
            </w:r>
            <w:r w:rsidR="00C128A0" w:rsidRPr="004456BB">
              <w:rPr>
                <w:rFonts w:eastAsia="Calibri" w:cs="Arial"/>
                <w:color w:val="000000"/>
                <w:szCs w:val="18"/>
                <w:lang w:eastAsia="es-CO"/>
              </w:rPr>
              <w:t xml:space="preserve"> </w:t>
            </w:r>
            <w:r w:rsidR="00F02DDE" w:rsidRPr="004456BB">
              <w:rPr>
                <w:rFonts w:eastAsia="Calibri" w:cs="Arial"/>
                <w:color w:val="000000"/>
                <w:szCs w:val="18"/>
                <w:lang w:eastAsia="es-CO"/>
              </w:rPr>
              <w:t>(C16:0)</w:t>
            </w:r>
          </w:p>
        </w:tc>
        <w:tc>
          <w:tcPr>
            <w:tcW w:w="2022" w:type="dxa"/>
            <w:tcBorders>
              <w:top w:val="single" w:sz="4" w:space="0" w:color="9BBB59" w:themeColor="accent3"/>
            </w:tcBorders>
            <w:shd w:val="clear" w:color="auto" w:fill="FFFFFF"/>
          </w:tcPr>
          <w:p w14:paraId="22D3D054" w14:textId="60A98495" w:rsidR="000D0C83" w:rsidRPr="004456BB" w:rsidRDefault="00AA44E1" w:rsidP="000D0C83">
            <w:pPr>
              <w:pStyle w:val="CETBodytext"/>
              <w:rPr>
                <w:rFonts w:eastAsia="Calibri" w:cs="Arial"/>
                <w:color w:val="000000"/>
                <w:szCs w:val="18"/>
                <w:lang w:eastAsia="es-CO"/>
              </w:rPr>
            </w:pPr>
            <w:r w:rsidRPr="004456BB">
              <w:rPr>
                <w:rFonts w:eastAsia="Calibri" w:cs="Arial"/>
                <w:color w:val="000000"/>
                <w:szCs w:val="18"/>
                <w:lang w:eastAsia="es-CO"/>
              </w:rPr>
              <w:t>0.85</w:t>
            </w:r>
            <w:r w:rsidR="001C4BA0">
              <w:rPr>
                <w:rFonts w:eastAsia="Calibri" w:cs="Arial"/>
                <w:color w:val="000000"/>
                <w:szCs w:val="18"/>
                <w:lang w:eastAsia="es-CO"/>
              </w:rPr>
              <w:t>26</w:t>
            </w:r>
          </w:p>
        </w:tc>
        <w:tc>
          <w:tcPr>
            <w:tcW w:w="1992" w:type="dxa"/>
            <w:tcBorders>
              <w:top w:val="single" w:sz="4" w:space="0" w:color="9BBB59" w:themeColor="accent3"/>
            </w:tcBorders>
            <w:shd w:val="clear" w:color="auto" w:fill="FFFFFF"/>
          </w:tcPr>
          <w:p w14:paraId="32EBF5DE" w14:textId="5AAC3166" w:rsidR="000D0C83" w:rsidRPr="004456BB" w:rsidRDefault="00AA44E1" w:rsidP="000D0C83">
            <w:pPr>
              <w:pStyle w:val="CETBodytext"/>
              <w:rPr>
                <w:rFonts w:eastAsia="Calibri" w:cs="Arial"/>
                <w:color w:val="000000"/>
                <w:szCs w:val="18"/>
                <w:lang w:eastAsia="es-CO"/>
              </w:rPr>
            </w:pPr>
            <w:r w:rsidRPr="004456BB">
              <w:rPr>
                <w:rFonts w:eastAsia="Calibri" w:cs="Arial"/>
                <w:color w:val="000000"/>
                <w:szCs w:val="18"/>
                <w:lang w:eastAsia="es-CO"/>
              </w:rPr>
              <w:t>0.85</w:t>
            </w:r>
            <w:r w:rsidR="00F4790A">
              <w:rPr>
                <w:rFonts w:eastAsia="Calibri" w:cs="Arial"/>
                <w:color w:val="000000"/>
                <w:szCs w:val="18"/>
                <w:lang w:eastAsia="es-CO"/>
              </w:rPr>
              <w:t>77</w:t>
            </w:r>
          </w:p>
        </w:tc>
        <w:tc>
          <w:tcPr>
            <w:tcW w:w="1779" w:type="dxa"/>
            <w:tcBorders>
              <w:top w:val="single" w:sz="4" w:space="0" w:color="9BBB59" w:themeColor="accent3"/>
            </w:tcBorders>
            <w:shd w:val="clear" w:color="auto" w:fill="FFFFFF"/>
          </w:tcPr>
          <w:p w14:paraId="214406D7" w14:textId="689D2E27" w:rsidR="000D0C83" w:rsidRPr="004456BB" w:rsidRDefault="00AA44E1" w:rsidP="000D0C83">
            <w:pPr>
              <w:pStyle w:val="CETBodytext"/>
              <w:rPr>
                <w:rFonts w:eastAsia="Calibri" w:cs="Arial"/>
                <w:color w:val="000000"/>
                <w:szCs w:val="18"/>
                <w:lang w:eastAsia="es-CO"/>
              </w:rPr>
            </w:pPr>
            <w:r>
              <w:rPr>
                <w:rFonts w:eastAsia="Calibri" w:cs="Arial"/>
                <w:color w:val="000000"/>
                <w:szCs w:val="18"/>
                <w:lang w:eastAsia="es-CO"/>
              </w:rPr>
              <w:t>99.40</w:t>
            </w:r>
            <w:r w:rsidR="00DB66A6">
              <w:rPr>
                <w:rFonts w:eastAsia="Calibri" w:cs="Arial"/>
                <w:color w:val="000000"/>
                <w:szCs w:val="18"/>
                <w:lang w:eastAsia="es-CO"/>
              </w:rPr>
              <w:t xml:space="preserve"> %</w:t>
            </w:r>
          </w:p>
        </w:tc>
      </w:tr>
      <w:tr w:rsidR="00FE63EB" w14:paraId="7D9C2286" w14:textId="77777777" w:rsidTr="00464902">
        <w:tc>
          <w:tcPr>
            <w:tcW w:w="2994" w:type="dxa"/>
            <w:shd w:val="clear" w:color="auto" w:fill="FFFFFF"/>
          </w:tcPr>
          <w:p w14:paraId="765578FD" w14:textId="77777777" w:rsidR="000D0C83" w:rsidRPr="004456BB" w:rsidRDefault="00AA44E1" w:rsidP="000D0C83">
            <w:pPr>
              <w:pStyle w:val="CETBodytext"/>
              <w:rPr>
                <w:rFonts w:eastAsia="Calibri" w:cs="Arial"/>
                <w:color w:val="000000"/>
                <w:szCs w:val="18"/>
                <w:lang w:eastAsia="es-CO"/>
              </w:rPr>
            </w:pPr>
            <w:r w:rsidRPr="004456BB">
              <w:rPr>
                <w:rFonts w:eastAsia="Calibri" w:cs="Arial"/>
                <w:color w:val="000000"/>
                <w:szCs w:val="18"/>
                <w:lang w:eastAsia="es-CO"/>
              </w:rPr>
              <w:t>Stearic</w:t>
            </w:r>
            <w:r w:rsidR="00F02DDE" w:rsidRPr="004456BB">
              <w:rPr>
                <w:rFonts w:eastAsia="Calibri" w:cs="Arial"/>
                <w:color w:val="000000"/>
                <w:szCs w:val="18"/>
                <w:lang w:eastAsia="es-CO"/>
              </w:rPr>
              <w:t xml:space="preserve"> (C18:0)</w:t>
            </w:r>
          </w:p>
        </w:tc>
        <w:tc>
          <w:tcPr>
            <w:tcW w:w="2022" w:type="dxa"/>
            <w:shd w:val="clear" w:color="auto" w:fill="FFFFFF"/>
          </w:tcPr>
          <w:p w14:paraId="480F6E55" w14:textId="6738A6A2" w:rsidR="000D0C83" w:rsidRPr="004456BB" w:rsidRDefault="00AA44E1" w:rsidP="000D0C83">
            <w:pPr>
              <w:pStyle w:val="CETBodytext"/>
              <w:rPr>
                <w:rFonts w:eastAsia="Calibri" w:cs="Arial"/>
                <w:color w:val="000000"/>
                <w:szCs w:val="18"/>
                <w:lang w:eastAsia="es-CO"/>
              </w:rPr>
            </w:pPr>
            <w:r w:rsidRPr="004456BB">
              <w:rPr>
                <w:rFonts w:eastAsia="Calibri" w:cs="Arial"/>
                <w:color w:val="000000"/>
                <w:szCs w:val="18"/>
                <w:lang w:eastAsia="es-CO"/>
              </w:rPr>
              <w:t>0.84</w:t>
            </w:r>
            <w:r w:rsidR="001C4BA0">
              <w:rPr>
                <w:rFonts w:eastAsia="Calibri" w:cs="Arial"/>
                <w:color w:val="000000"/>
                <w:szCs w:val="18"/>
                <w:lang w:eastAsia="es-CO"/>
              </w:rPr>
              <w:t>48</w:t>
            </w:r>
          </w:p>
        </w:tc>
        <w:tc>
          <w:tcPr>
            <w:tcW w:w="1992" w:type="dxa"/>
            <w:shd w:val="clear" w:color="auto" w:fill="FFFFFF"/>
          </w:tcPr>
          <w:p w14:paraId="1308866D" w14:textId="1AF00F5E" w:rsidR="000D0C83" w:rsidRPr="004456BB" w:rsidRDefault="00AA44E1" w:rsidP="000D0C83">
            <w:pPr>
              <w:pStyle w:val="CETBodytext"/>
              <w:rPr>
                <w:rFonts w:eastAsia="Calibri" w:cs="Arial"/>
                <w:color w:val="000000"/>
                <w:szCs w:val="18"/>
                <w:lang w:eastAsia="es-CO"/>
              </w:rPr>
            </w:pPr>
            <w:r w:rsidRPr="004456BB">
              <w:rPr>
                <w:rFonts w:eastAsia="Calibri" w:cs="Arial"/>
                <w:color w:val="000000"/>
                <w:szCs w:val="18"/>
                <w:lang w:eastAsia="es-CO"/>
              </w:rPr>
              <w:t>0.849</w:t>
            </w:r>
            <w:r w:rsidR="00F4790A">
              <w:rPr>
                <w:rFonts w:eastAsia="Calibri" w:cs="Arial"/>
                <w:color w:val="000000"/>
                <w:szCs w:val="18"/>
                <w:lang w:eastAsia="es-CO"/>
              </w:rPr>
              <w:t>0</w:t>
            </w:r>
          </w:p>
        </w:tc>
        <w:tc>
          <w:tcPr>
            <w:tcW w:w="1779" w:type="dxa"/>
            <w:shd w:val="clear" w:color="auto" w:fill="FFFFFF"/>
          </w:tcPr>
          <w:p w14:paraId="4919CB61" w14:textId="3BB65774" w:rsidR="000D0C83" w:rsidRPr="004456BB" w:rsidRDefault="00AA44E1" w:rsidP="000D0C83">
            <w:pPr>
              <w:pStyle w:val="CETBodytext"/>
              <w:rPr>
                <w:rFonts w:eastAsia="Calibri" w:cs="Arial"/>
                <w:color w:val="000000"/>
                <w:szCs w:val="18"/>
                <w:lang w:eastAsia="es-CO"/>
              </w:rPr>
            </w:pPr>
            <w:r>
              <w:rPr>
                <w:rFonts w:eastAsia="Calibri" w:cs="Arial"/>
                <w:color w:val="000000"/>
                <w:szCs w:val="18"/>
                <w:lang w:eastAsia="es-CO"/>
              </w:rPr>
              <w:t>99.50</w:t>
            </w:r>
            <w:r w:rsidR="00DB66A6">
              <w:rPr>
                <w:rFonts w:eastAsia="Calibri" w:cs="Arial"/>
                <w:color w:val="000000"/>
                <w:szCs w:val="18"/>
                <w:lang w:eastAsia="es-CO"/>
              </w:rPr>
              <w:t xml:space="preserve"> %</w:t>
            </w:r>
          </w:p>
        </w:tc>
      </w:tr>
      <w:tr w:rsidR="00FE63EB" w14:paraId="3FEBC2F6" w14:textId="77777777" w:rsidTr="00BF3B4F">
        <w:tc>
          <w:tcPr>
            <w:tcW w:w="2994" w:type="dxa"/>
            <w:tcBorders>
              <w:bottom w:val="single" w:sz="4" w:space="0" w:color="9BBB59" w:themeColor="accent3"/>
            </w:tcBorders>
            <w:shd w:val="clear" w:color="auto" w:fill="FFFFFF"/>
          </w:tcPr>
          <w:p w14:paraId="69E56A29" w14:textId="70FDC7F6" w:rsidR="000D0C83" w:rsidRPr="004456BB" w:rsidRDefault="00AA44E1" w:rsidP="000D0C83">
            <w:pPr>
              <w:pStyle w:val="CETBodytext"/>
              <w:rPr>
                <w:rFonts w:eastAsia="Calibri" w:cs="Arial"/>
                <w:color w:val="000000"/>
                <w:szCs w:val="18"/>
                <w:lang w:eastAsia="es-CO"/>
              </w:rPr>
            </w:pPr>
            <w:r w:rsidRPr="004456BB">
              <w:rPr>
                <w:rFonts w:eastAsia="Calibri" w:cs="Arial"/>
                <w:color w:val="000000"/>
                <w:szCs w:val="18"/>
                <w:lang w:eastAsia="es-CO"/>
              </w:rPr>
              <w:t>Oleic</w:t>
            </w:r>
            <w:r w:rsidR="00F02DDE" w:rsidRPr="004456BB">
              <w:rPr>
                <w:rFonts w:eastAsia="Calibri" w:cs="Arial"/>
                <w:color w:val="000000"/>
                <w:szCs w:val="18"/>
                <w:lang w:eastAsia="es-CO"/>
              </w:rPr>
              <w:t xml:space="preserve"> (C18:1</w:t>
            </w:r>
            <w:r w:rsidR="00BB0736">
              <w:rPr>
                <w:rFonts w:eastAsia="Calibri" w:cs="Arial"/>
                <w:color w:val="000000"/>
                <w:szCs w:val="18"/>
                <w:lang w:eastAsia="es-CO"/>
              </w:rPr>
              <w:t xml:space="preserve"> n9</w:t>
            </w:r>
            <w:r w:rsidR="00F02DDE" w:rsidRPr="004456BB">
              <w:rPr>
                <w:rFonts w:eastAsia="Calibri" w:cs="Arial"/>
                <w:color w:val="000000"/>
                <w:szCs w:val="18"/>
                <w:lang w:eastAsia="es-CO"/>
              </w:rPr>
              <w:t>)</w:t>
            </w:r>
          </w:p>
        </w:tc>
        <w:tc>
          <w:tcPr>
            <w:tcW w:w="2022" w:type="dxa"/>
            <w:tcBorders>
              <w:bottom w:val="single" w:sz="4" w:space="0" w:color="9BBB59" w:themeColor="accent3"/>
            </w:tcBorders>
            <w:shd w:val="clear" w:color="auto" w:fill="FFFFFF"/>
          </w:tcPr>
          <w:p w14:paraId="21268DEC" w14:textId="468123F7" w:rsidR="000D0C83" w:rsidRPr="004456BB" w:rsidRDefault="00AA44E1" w:rsidP="000D0C83">
            <w:pPr>
              <w:pStyle w:val="CETBodytext"/>
              <w:rPr>
                <w:rFonts w:eastAsia="Calibri" w:cs="Arial"/>
                <w:color w:val="000000"/>
                <w:szCs w:val="18"/>
                <w:lang w:eastAsia="es-CO"/>
              </w:rPr>
            </w:pPr>
            <w:r w:rsidRPr="004456BB">
              <w:rPr>
                <w:rFonts w:eastAsia="Calibri" w:cs="Arial"/>
                <w:color w:val="000000"/>
                <w:szCs w:val="18"/>
                <w:lang w:eastAsia="es-CO"/>
              </w:rPr>
              <w:t>0.88</w:t>
            </w:r>
            <w:r w:rsidR="001C4BA0">
              <w:rPr>
                <w:rFonts w:eastAsia="Calibri" w:cs="Arial"/>
                <w:color w:val="000000"/>
                <w:szCs w:val="18"/>
                <w:lang w:eastAsia="es-CO"/>
              </w:rPr>
              <w:t>37</w:t>
            </w:r>
          </w:p>
        </w:tc>
        <w:tc>
          <w:tcPr>
            <w:tcW w:w="1992" w:type="dxa"/>
            <w:tcBorders>
              <w:bottom w:val="single" w:sz="4" w:space="0" w:color="9BBB59" w:themeColor="accent3"/>
            </w:tcBorders>
            <w:shd w:val="clear" w:color="auto" w:fill="FFFFFF"/>
          </w:tcPr>
          <w:p w14:paraId="5F1F6735" w14:textId="068A3F8D" w:rsidR="000D0C83" w:rsidRPr="004456BB" w:rsidRDefault="00AA44E1" w:rsidP="000D0C83">
            <w:pPr>
              <w:pStyle w:val="CETBodytext"/>
              <w:rPr>
                <w:rFonts w:eastAsia="Calibri" w:cs="Arial"/>
                <w:color w:val="000000"/>
                <w:szCs w:val="18"/>
                <w:lang w:eastAsia="es-CO"/>
              </w:rPr>
            </w:pPr>
            <w:r w:rsidRPr="004456BB">
              <w:rPr>
                <w:rFonts w:eastAsia="Calibri" w:cs="Arial"/>
                <w:color w:val="000000"/>
                <w:szCs w:val="18"/>
                <w:lang w:eastAsia="es-CO"/>
              </w:rPr>
              <w:t>0.890</w:t>
            </w:r>
            <w:r w:rsidR="00F4790A">
              <w:rPr>
                <w:rFonts w:eastAsia="Calibri" w:cs="Arial"/>
                <w:color w:val="000000"/>
                <w:szCs w:val="18"/>
                <w:lang w:eastAsia="es-CO"/>
              </w:rPr>
              <w:t>4</w:t>
            </w:r>
          </w:p>
        </w:tc>
        <w:tc>
          <w:tcPr>
            <w:tcW w:w="1779" w:type="dxa"/>
            <w:tcBorders>
              <w:bottom w:val="single" w:sz="4" w:space="0" w:color="9BBB59" w:themeColor="accent3"/>
            </w:tcBorders>
            <w:shd w:val="clear" w:color="auto" w:fill="FFFFFF"/>
          </w:tcPr>
          <w:p w14:paraId="52C7393D" w14:textId="5B4F6D1D" w:rsidR="000D0C83" w:rsidRPr="004456BB" w:rsidRDefault="00AA44E1" w:rsidP="000D0C83">
            <w:pPr>
              <w:pStyle w:val="CETBodytext"/>
              <w:rPr>
                <w:rFonts w:eastAsia="Calibri" w:cs="Arial"/>
                <w:color w:val="000000"/>
                <w:szCs w:val="18"/>
                <w:lang w:eastAsia="es-CO"/>
              </w:rPr>
            </w:pPr>
            <w:r>
              <w:rPr>
                <w:rFonts w:eastAsia="Calibri" w:cs="Arial"/>
                <w:color w:val="000000"/>
                <w:szCs w:val="18"/>
                <w:lang w:eastAsia="es-CO"/>
              </w:rPr>
              <w:t>99.24</w:t>
            </w:r>
            <w:r w:rsidR="00DB66A6">
              <w:rPr>
                <w:rFonts w:eastAsia="Calibri" w:cs="Arial"/>
                <w:color w:val="000000"/>
                <w:szCs w:val="18"/>
                <w:lang w:eastAsia="es-CO"/>
              </w:rPr>
              <w:t xml:space="preserve"> %</w:t>
            </w:r>
          </w:p>
        </w:tc>
      </w:tr>
      <w:tr w:rsidR="00BF3B4F" w14:paraId="74A6BCE4" w14:textId="77777777" w:rsidTr="00BF3B4F">
        <w:tc>
          <w:tcPr>
            <w:tcW w:w="2994" w:type="dxa"/>
            <w:tcBorders>
              <w:top w:val="single" w:sz="4" w:space="0" w:color="9BBB59" w:themeColor="accent3"/>
              <w:bottom w:val="single" w:sz="4" w:space="0" w:color="9BBB59" w:themeColor="accent3"/>
            </w:tcBorders>
            <w:shd w:val="clear" w:color="auto" w:fill="FFFFFF"/>
          </w:tcPr>
          <w:p w14:paraId="5897176E" w14:textId="61ECD1C6" w:rsidR="00BF3B4F" w:rsidRPr="00BF3B4F" w:rsidRDefault="00BF3B4F" w:rsidP="00BF3B4F">
            <w:pPr>
              <w:pStyle w:val="CETBodytext"/>
              <w:rPr>
                <w:rFonts w:eastAsia="Calibri" w:cs="Arial"/>
                <w:b/>
                <w:bCs/>
                <w:color w:val="000000"/>
                <w:szCs w:val="18"/>
                <w:lang w:eastAsia="es-CO"/>
              </w:rPr>
            </w:pPr>
            <w:r>
              <w:rPr>
                <w:rFonts w:cs="Arial"/>
                <w:b/>
                <w:bCs/>
                <w:color w:val="000000"/>
                <w:szCs w:val="18"/>
                <w:lang w:eastAsia="es-CO"/>
              </w:rPr>
              <w:t>Viscosity (</w:t>
            </w:r>
            <w:r w:rsidR="002E2CF9">
              <w:rPr>
                <w:rFonts w:cs="Arial"/>
                <w:b/>
                <w:bCs/>
                <w:color w:val="000000"/>
                <w:szCs w:val="18"/>
                <w:lang w:eastAsia="es-CO"/>
              </w:rPr>
              <w:t>Pa. S</w:t>
            </w:r>
            <w:r>
              <w:rPr>
                <w:rFonts w:cs="Arial"/>
                <w:b/>
                <w:bCs/>
                <w:color w:val="000000"/>
                <w:szCs w:val="18"/>
                <w:lang w:eastAsia="es-CO"/>
              </w:rPr>
              <w:t xml:space="preserve">) </w:t>
            </w:r>
          </w:p>
        </w:tc>
        <w:tc>
          <w:tcPr>
            <w:tcW w:w="2022" w:type="dxa"/>
            <w:tcBorders>
              <w:top w:val="single" w:sz="4" w:space="0" w:color="9BBB59" w:themeColor="accent3"/>
              <w:bottom w:val="single" w:sz="4" w:space="0" w:color="9BBB59" w:themeColor="accent3"/>
            </w:tcBorders>
            <w:shd w:val="clear" w:color="auto" w:fill="FFFFFF"/>
          </w:tcPr>
          <w:p w14:paraId="376AB8AB" w14:textId="77777777" w:rsidR="00BF3B4F" w:rsidRPr="004456BB" w:rsidRDefault="00BF3B4F" w:rsidP="00BF3B4F">
            <w:pPr>
              <w:pStyle w:val="CETBodytext"/>
              <w:rPr>
                <w:rFonts w:eastAsia="Calibri" w:cs="Arial"/>
                <w:color w:val="000000"/>
                <w:szCs w:val="18"/>
                <w:lang w:eastAsia="es-CO"/>
              </w:rPr>
            </w:pPr>
          </w:p>
        </w:tc>
        <w:tc>
          <w:tcPr>
            <w:tcW w:w="1992" w:type="dxa"/>
            <w:tcBorders>
              <w:top w:val="single" w:sz="4" w:space="0" w:color="9BBB59" w:themeColor="accent3"/>
              <w:bottom w:val="single" w:sz="4" w:space="0" w:color="9BBB59" w:themeColor="accent3"/>
            </w:tcBorders>
            <w:shd w:val="clear" w:color="auto" w:fill="FFFFFF"/>
          </w:tcPr>
          <w:p w14:paraId="143B4C91" w14:textId="77777777" w:rsidR="00BF3B4F" w:rsidRPr="004456BB" w:rsidRDefault="00BF3B4F" w:rsidP="00BF3B4F">
            <w:pPr>
              <w:pStyle w:val="CETBodytext"/>
              <w:rPr>
                <w:rFonts w:eastAsia="Calibri" w:cs="Arial"/>
                <w:color w:val="000000"/>
                <w:szCs w:val="18"/>
                <w:lang w:eastAsia="es-CO"/>
              </w:rPr>
            </w:pPr>
          </w:p>
        </w:tc>
        <w:tc>
          <w:tcPr>
            <w:tcW w:w="1779" w:type="dxa"/>
            <w:tcBorders>
              <w:top w:val="single" w:sz="4" w:space="0" w:color="9BBB59" w:themeColor="accent3"/>
              <w:bottom w:val="single" w:sz="4" w:space="0" w:color="9BBB59" w:themeColor="accent3"/>
            </w:tcBorders>
            <w:shd w:val="clear" w:color="auto" w:fill="FFFFFF"/>
          </w:tcPr>
          <w:p w14:paraId="41F5255A" w14:textId="77777777" w:rsidR="00BF3B4F" w:rsidRDefault="00BF3B4F" w:rsidP="00BF3B4F">
            <w:pPr>
              <w:pStyle w:val="CETBodytext"/>
              <w:rPr>
                <w:rFonts w:eastAsia="Calibri" w:cs="Arial"/>
                <w:color w:val="000000"/>
                <w:szCs w:val="18"/>
                <w:lang w:eastAsia="es-CO"/>
              </w:rPr>
            </w:pPr>
          </w:p>
        </w:tc>
      </w:tr>
      <w:tr w:rsidR="00BF3B4F" w14:paraId="68B6E301" w14:textId="77777777" w:rsidTr="00BF3B4F">
        <w:tc>
          <w:tcPr>
            <w:tcW w:w="2994" w:type="dxa"/>
            <w:tcBorders>
              <w:top w:val="single" w:sz="4" w:space="0" w:color="9BBB59" w:themeColor="accent3"/>
              <w:bottom w:val="nil"/>
            </w:tcBorders>
            <w:shd w:val="clear" w:color="auto" w:fill="FFFFFF"/>
          </w:tcPr>
          <w:p w14:paraId="250E7C15" w14:textId="4B2F9C71" w:rsidR="00BF3B4F" w:rsidRPr="004456BB" w:rsidRDefault="00BF3B4F" w:rsidP="00BF3B4F">
            <w:pPr>
              <w:pStyle w:val="CETBodytext"/>
              <w:rPr>
                <w:rFonts w:cs="Arial"/>
                <w:b/>
                <w:bCs/>
                <w:color w:val="000000"/>
                <w:szCs w:val="18"/>
                <w:lang w:eastAsia="es-CO"/>
              </w:rPr>
            </w:pPr>
            <w:r w:rsidRPr="004456BB">
              <w:rPr>
                <w:rFonts w:eastAsia="Calibri" w:cs="Arial"/>
                <w:color w:val="000000"/>
                <w:szCs w:val="18"/>
                <w:lang w:eastAsia="es-CO"/>
              </w:rPr>
              <w:t>Fatty acids</w:t>
            </w:r>
          </w:p>
        </w:tc>
        <w:tc>
          <w:tcPr>
            <w:tcW w:w="2022" w:type="dxa"/>
            <w:tcBorders>
              <w:top w:val="single" w:sz="4" w:space="0" w:color="9BBB59" w:themeColor="accent3"/>
              <w:bottom w:val="nil"/>
            </w:tcBorders>
            <w:shd w:val="clear" w:color="auto" w:fill="FFFFFF"/>
          </w:tcPr>
          <w:p w14:paraId="37BAE747" w14:textId="7C917749" w:rsidR="00BF3B4F" w:rsidRPr="004456BB" w:rsidRDefault="00BF3B4F" w:rsidP="00BF3B4F">
            <w:pPr>
              <w:pStyle w:val="CETBodytext"/>
              <w:rPr>
                <w:rFonts w:eastAsia="Calibri" w:cs="Arial"/>
                <w:color w:val="000000"/>
                <w:szCs w:val="18"/>
                <w:lang w:eastAsia="es-CO"/>
              </w:rPr>
            </w:pPr>
            <w:r w:rsidRPr="004456BB">
              <w:rPr>
                <w:rFonts w:eastAsia="Calibri" w:cs="Arial"/>
                <w:color w:val="000000"/>
                <w:szCs w:val="18"/>
                <w:lang w:eastAsia="es-CO"/>
              </w:rPr>
              <w:t>This work</w:t>
            </w:r>
          </w:p>
        </w:tc>
        <w:tc>
          <w:tcPr>
            <w:tcW w:w="1992" w:type="dxa"/>
            <w:tcBorders>
              <w:top w:val="single" w:sz="4" w:space="0" w:color="9BBB59" w:themeColor="accent3"/>
              <w:bottom w:val="nil"/>
            </w:tcBorders>
            <w:shd w:val="clear" w:color="auto" w:fill="FFFFFF"/>
          </w:tcPr>
          <w:p w14:paraId="18476ABC" w14:textId="22D582BD" w:rsidR="00BF3B4F" w:rsidRPr="004456BB" w:rsidRDefault="00BF3B4F" w:rsidP="00BF3B4F">
            <w:pPr>
              <w:pStyle w:val="CETBodytext"/>
              <w:rPr>
                <w:rFonts w:eastAsia="Calibri" w:cs="Arial"/>
                <w:color w:val="000000"/>
                <w:szCs w:val="18"/>
                <w:lang w:eastAsia="es-CO"/>
              </w:rPr>
            </w:pPr>
            <w:r w:rsidRPr="004456BB">
              <w:rPr>
                <w:rFonts w:eastAsia="Calibri" w:cs="Arial"/>
                <w:color w:val="000000"/>
                <w:szCs w:val="18"/>
                <w:lang w:eastAsia="es-CO"/>
              </w:rPr>
              <w:fldChar w:fldCharType="begin" w:fldLock="1"/>
            </w:r>
            <w:r w:rsidR="00DF3716">
              <w:rPr>
                <w:rFonts w:eastAsia="Calibri" w:cs="Arial"/>
                <w:color w:val="000000"/>
                <w:szCs w:val="18"/>
                <w:lang w:eastAsia="es-CO"/>
              </w:rPr>
              <w:instrText>ADDIN CSL_CITATION {"citationItems":[{"id":"ITEM-1","itemData":{"author":[{"dropping-particle":"","family":"Cedeño","given":"Fidel","non-dropping-particle":"","parse-names":false,"suffix":""},{"dropping-particle":"","family":"Prieto","given":"Manuela","non-dropping-particle":"","parse-names":false,"suffix":""},{"dropping-particle":"","family":"Bada","given":"Juan","non-dropping-particle":"","parse-names":false,"suffix":""},{"dropping-particle":"","family":"Suárez","given":"Rafael","non-dropping-particle":"","parse-names":false,"suffix":""}],"container-title":"Grasas y aceites","id":"ITEM-1","issued":{"date-parts":[["1999"]]},"page":"359-368","title":"Estudio de la densidad y de la viscosidad de algunos ácidos grasos puros","type":"article-journal","volume":"50"},"uris":["http://www.mendeley.com/documents/?uuid=76bc6af3-18eb-48d0-86ea-7450b2442bbf"]}],"mendeley":{"formattedCitation":"(Cedeño et al., 1999)","manualFormatting":"Cedeño et al. (1999)","plainTextFormattedCitation":"(Cedeño et al., 1999)","previouslyFormattedCitation":"(Cedeño &lt;i&gt;et al.&lt;/i&gt;, 1999)"},"properties":{"noteIndex":0},"schema":"https://github.com/citation-style-language/schema/raw/master/csl-citation.json"}</w:instrText>
            </w:r>
            <w:r w:rsidRPr="004456BB">
              <w:rPr>
                <w:rFonts w:eastAsia="Calibri" w:cs="Arial"/>
                <w:color w:val="000000"/>
                <w:szCs w:val="18"/>
                <w:lang w:eastAsia="es-CO"/>
              </w:rPr>
              <w:fldChar w:fldCharType="separate"/>
            </w:r>
            <w:r w:rsidRPr="004456BB">
              <w:rPr>
                <w:rFonts w:eastAsia="Calibri" w:cs="Arial"/>
                <w:noProof/>
                <w:color w:val="000000"/>
                <w:szCs w:val="18"/>
                <w:lang w:eastAsia="es-CO"/>
              </w:rPr>
              <w:t>Cedeño et al. (1999)</w:t>
            </w:r>
            <w:r w:rsidRPr="004456BB">
              <w:rPr>
                <w:rFonts w:eastAsia="Calibri" w:cs="Arial"/>
                <w:color w:val="000000"/>
                <w:szCs w:val="18"/>
                <w:lang w:eastAsia="es-CO"/>
              </w:rPr>
              <w:fldChar w:fldCharType="end"/>
            </w:r>
          </w:p>
        </w:tc>
        <w:tc>
          <w:tcPr>
            <w:tcW w:w="1779" w:type="dxa"/>
            <w:tcBorders>
              <w:top w:val="single" w:sz="4" w:space="0" w:color="9BBB59" w:themeColor="accent3"/>
              <w:bottom w:val="nil"/>
            </w:tcBorders>
            <w:shd w:val="clear" w:color="auto" w:fill="FFFFFF"/>
          </w:tcPr>
          <w:p w14:paraId="06D65CE8" w14:textId="7A3EE48A" w:rsidR="00BF3B4F" w:rsidRDefault="00BF3B4F" w:rsidP="00BF3B4F">
            <w:pPr>
              <w:pStyle w:val="CETBodytext"/>
              <w:rPr>
                <w:rFonts w:eastAsia="Calibri" w:cs="Arial"/>
                <w:color w:val="000000"/>
                <w:szCs w:val="18"/>
                <w:lang w:eastAsia="es-CO"/>
              </w:rPr>
            </w:pPr>
            <w:r w:rsidRPr="004456BB">
              <w:rPr>
                <w:rFonts w:eastAsia="Calibri" w:cs="Arial"/>
                <w:color w:val="000000"/>
                <w:szCs w:val="18"/>
                <w:lang w:eastAsia="es-CO"/>
              </w:rPr>
              <w:t>Accuracy (%)</w:t>
            </w:r>
          </w:p>
        </w:tc>
      </w:tr>
      <w:tr w:rsidR="00BF3B4F" w14:paraId="2B0A3FF1" w14:textId="77777777" w:rsidTr="00BF3B4F">
        <w:tc>
          <w:tcPr>
            <w:tcW w:w="2994" w:type="dxa"/>
            <w:tcBorders>
              <w:top w:val="nil"/>
              <w:bottom w:val="nil"/>
            </w:tcBorders>
            <w:shd w:val="clear" w:color="auto" w:fill="FFFFFF"/>
          </w:tcPr>
          <w:p w14:paraId="67A62AC6" w14:textId="4343D6A5" w:rsidR="00BF3B4F" w:rsidRPr="004456BB" w:rsidRDefault="00BF3B4F" w:rsidP="00BF3B4F">
            <w:pPr>
              <w:pStyle w:val="CETBodytext"/>
              <w:rPr>
                <w:rFonts w:eastAsia="Calibri" w:cs="Arial"/>
                <w:color w:val="000000"/>
                <w:szCs w:val="18"/>
                <w:lang w:eastAsia="es-CO"/>
              </w:rPr>
            </w:pPr>
            <w:r w:rsidRPr="004456BB">
              <w:rPr>
                <w:rFonts w:eastAsia="Calibri" w:cs="Arial"/>
                <w:color w:val="000000"/>
                <w:szCs w:val="18"/>
                <w:lang w:eastAsia="es-CO"/>
              </w:rPr>
              <w:t>Palmitic (C16:0)</w:t>
            </w:r>
          </w:p>
        </w:tc>
        <w:tc>
          <w:tcPr>
            <w:tcW w:w="2022" w:type="dxa"/>
            <w:tcBorders>
              <w:top w:val="nil"/>
              <w:bottom w:val="nil"/>
            </w:tcBorders>
            <w:shd w:val="clear" w:color="auto" w:fill="FFFFFF"/>
          </w:tcPr>
          <w:p w14:paraId="6CC3CFB5" w14:textId="7506FB7F" w:rsidR="00BF3B4F" w:rsidRPr="004456BB" w:rsidRDefault="002E2CF9" w:rsidP="00BF3B4F">
            <w:pPr>
              <w:pStyle w:val="CETBodytext"/>
              <w:rPr>
                <w:rFonts w:eastAsia="Calibri" w:cs="Arial"/>
                <w:color w:val="000000"/>
                <w:szCs w:val="18"/>
                <w:lang w:eastAsia="es-CO"/>
              </w:rPr>
            </w:pPr>
            <w:r>
              <w:rPr>
                <w:rFonts w:eastAsia="Calibri" w:cs="Arial"/>
                <w:color w:val="000000"/>
                <w:szCs w:val="18"/>
                <w:lang w:eastAsia="es-CO"/>
              </w:rPr>
              <w:t>0.00</w:t>
            </w:r>
            <w:r w:rsidR="00372FEF">
              <w:rPr>
                <w:rFonts w:eastAsia="Calibri" w:cs="Arial"/>
                <w:color w:val="000000"/>
                <w:szCs w:val="18"/>
                <w:lang w:eastAsia="es-CO"/>
              </w:rPr>
              <w:t>762</w:t>
            </w:r>
          </w:p>
        </w:tc>
        <w:tc>
          <w:tcPr>
            <w:tcW w:w="1992" w:type="dxa"/>
            <w:tcBorders>
              <w:top w:val="nil"/>
              <w:bottom w:val="nil"/>
            </w:tcBorders>
            <w:shd w:val="clear" w:color="auto" w:fill="FFFFFF"/>
          </w:tcPr>
          <w:p w14:paraId="2F045488" w14:textId="40A78876" w:rsidR="00BF3B4F" w:rsidRPr="004456BB" w:rsidRDefault="002E2CF9" w:rsidP="00BF3B4F">
            <w:pPr>
              <w:pStyle w:val="CETBodytext"/>
              <w:rPr>
                <w:rFonts w:eastAsia="Calibri" w:cs="Arial"/>
                <w:color w:val="000000"/>
                <w:szCs w:val="18"/>
                <w:lang w:eastAsia="es-CO"/>
              </w:rPr>
            </w:pPr>
            <w:r>
              <w:rPr>
                <w:rFonts w:eastAsia="Calibri" w:cs="Arial"/>
                <w:color w:val="000000"/>
                <w:szCs w:val="18"/>
                <w:lang w:eastAsia="es-CO"/>
              </w:rPr>
              <w:t>0.00</w:t>
            </w:r>
            <w:r w:rsidR="000370E3">
              <w:rPr>
                <w:rFonts w:eastAsia="Calibri" w:cs="Arial"/>
                <w:color w:val="000000"/>
                <w:szCs w:val="18"/>
                <w:lang w:eastAsia="es-CO"/>
              </w:rPr>
              <w:t>759</w:t>
            </w:r>
          </w:p>
        </w:tc>
        <w:tc>
          <w:tcPr>
            <w:tcW w:w="1779" w:type="dxa"/>
            <w:tcBorders>
              <w:top w:val="nil"/>
              <w:bottom w:val="nil"/>
            </w:tcBorders>
            <w:shd w:val="clear" w:color="auto" w:fill="FFFFFF"/>
          </w:tcPr>
          <w:p w14:paraId="542BAFF6" w14:textId="4127EBCD" w:rsidR="00BF3B4F" w:rsidRPr="004456BB" w:rsidRDefault="00372FEF" w:rsidP="00BF3B4F">
            <w:pPr>
              <w:pStyle w:val="CETBodytext"/>
              <w:rPr>
                <w:rFonts w:eastAsia="Calibri" w:cs="Arial"/>
                <w:color w:val="000000"/>
                <w:szCs w:val="18"/>
                <w:lang w:eastAsia="es-CO"/>
              </w:rPr>
            </w:pPr>
            <w:r>
              <w:rPr>
                <w:rFonts w:eastAsia="Calibri" w:cs="Arial"/>
                <w:color w:val="000000"/>
                <w:szCs w:val="18"/>
                <w:lang w:eastAsia="es-CO"/>
              </w:rPr>
              <w:t>99.60</w:t>
            </w:r>
            <w:r w:rsidR="00DB66A6">
              <w:rPr>
                <w:rFonts w:eastAsia="Calibri" w:cs="Arial"/>
                <w:color w:val="000000"/>
                <w:szCs w:val="18"/>
                <w:lang w:eastAsia="es-CO"/>
              </w:rPr>
              <w:t xml:space="preserve"> %</w:t>
            </w:r>
          </w:p>
        </w:tc>
      </w:tr>
      <w:tr w:rsidR="00BF3B4F" w14:paraId="1EA2F517" w14:textId="77777777" w:rsidTr="00BF3B4F">
        <w:tc>
          <w:tcPr>
            <w:tcW w:w="2994" w:type="dxa"/>
            <w:tcBorders>
              <w:top w:val="nil"/>
              <w:bottom w:val="nil"/>
            </w:tcBorders>
            <w:shd w:val="clear" w:color="auto" w:fill="FFFFFF"/>
          </w:tcPr>
          <w:p w14:paraId="429A9B93" w14:textId="6CA13524" w:rsidR="00BF3B4F" w:rsidRPr="004456BB" w:rsidRDefault="00BF3B4F" w:rsidP="00BF3B4F">
            <w:pPr>
              <w:pStyle w:val="CETBodytext"/>
              <w:rPr>
                <w:rFonts w:eastAsia="Calibri" w:cs="Arial"/>
                <w:color w:val="000000"/>
                <w:szCs w:val="18"/>
                <w:lang w:eastAsia="es-CO"/>
              </w:rPr>
            </w:pPr>
            <w:r w:rsidRPr="004456BB">
              <w:rPr>
                <w:rFonts w:eastAsia="Calibri" w:cs="Arial"/>
                <w:color w:val="000000"/>
                <w:szCs w:val="18"/>
                <w:lang w:eastAsia="es-CO"/>
              </w:rPr>
              <w:t>Stearic (C18:0)</w:t>
            </w:r>
          </w:p>
        </w:tc>
        <w:tc>
          <w:tcPr>
            <w:tcW w:w="2022" w:type="dxa"/>
            <w:tcBorders>
              <w:top w:val="nil"/>
              <w:bottom w:val="nil"/>
            </w:tcBorders>
            <w:shd w:val="clear" w:color="auto" w:fill="FFFFFF"/>
          </w:tcPr>
          <w:p w14:paraId="404F277A" w14:textId="64A16591" w:rsidR="00BF3B4F" w:rsidRPr="004456BB" w:rsidRDefault="002E2CF9" w:rsidP="00BF3B4F">
            <w:pPr>
              <w:pStyle w:val="CETBodytext"/>
              <w:rPr>
                <w:rFonts w:eastAsia="Calibri" w:cs="Arial"/>
                <w:color w:val="000000"/>
                <w:szCs w:val="18"/>
                <w:lang w:eastAsia="es-CO"/>
              </w:rPr>
            </w:pPr>
            <w:r>
              <w:rPr>
                <w:rFonts w:eastAsia="Calibri" w:cs="Arial"/>
                <w:color w:val="000000"/>
                <w:szCs w:val="18"/>
                <w:lang w:eastAsia="es-CO"/>
              </w:rPr>
              <w:t>0.00</w:t>
            </w:r>
            <w:r w:rsidR="00DB66A6">
              <w:rPr>
                <w:rFonts w:eastAsia="Calibri" w:cs="Arial"/>
                <w:color w:val="000000"/>
                <w:szCs w:val="18"/>
                <w:lang w:eastAsia="es-CO"/>
              </w:rPr>
              <w:t>851</w:t>
            </w:r>
          </w:p>
        </w:tc>
        <w:tc>
          <w:tcPr>
            <w:tcW w:w="1992" w:type="dxa"/>
            <w:tcBorders>
              <w:top w:val="nil"/>
              <w:bottom w:val="nil"/>
            </w:tcBorders>
            <w:shd w:val="clear" w:color="auto" w:fill="FFFFFF"/>
          </w:tcPr>
          <w:p w14:paraId="37AA3B54" w14:textId="08106DF9" w:rsidR="00BF3B4F" w:rsidRPr="004456BB" w:rsidRDefault="002E2CF9" w:rsidP="00BF3B4F">
            <w:pPr>
              <w:pStyle w:val="CETBodytext"/>
              <w:rPr>
                <w:rFonts w:eastAsia="Calibri" w:cs="Arial"/>
                <w:color w:val="000000"/>
                <w:szCs w:val="18"/>
                <w:lang w:eastAsia="es-CO"/>
              </w:rPr>
            </w:pPr>
            <w:r>
              <w:rPr>
                <w:rFonts w:eastAsia="Calibri" w:cs="Arial"/>
                <w:color w:val="000000"/>
                <w:szCs w:val="18"/>
                <w:lang w:eastAsia="es-CO"/>
              </w:rPr>
              <w:t>0.00</w:t>
            </w:r>
            <w:r w:rsidR="00DB66A6">
              <w:rPr>
                <w:rFonts w:eastAsia="Calibri" w:cs="Arial"/>
                <w:color w:val="000000"/>
                <w:szCs w:val="18"/>
                <w:lang w:eastAsia="es-CO"/>
              </w:rPr>
              <w:t>830</w:t>
            </w:r>
          </w:p>
        </w:tc>
        <w:tc>
          <w:tcPr>
            <w:tcW w:w="1779" w:type="dxa"/>
            <w:tcBorders>
              <w:top w:val="nil"/>
              <w:bottom w:val="nil"/>
            </w:tcBorders>
            <w:shd w:val="clear" w:color="auto" w:fill="FFFFFF"/>
          </w:tcPr>
          <w:p w14:paraId="18B2CE59" w14:textId="3A18061A" w:rsidR="00BF3B4F" w:rsidRDefault="00DB66A6" w:rsidP="00BF3B4F">
            <w:pPr>
              <w:pStyle w:val="CETBodytext"/>
              <w:rPr>
                <w:rFonts w:eastAsia="Calibri" w:cs="Arial"/>
                <w:color w:val="000000"/>
                <w:szCs w:val="18"/>
                <w:lang w:eastAsia="es-CO"/>
              </w:rPr>
            </w:pPr>
            <w:r>
              <w:rPr>
                <w:rFonts w:eastAsia="Calibri" w:cs="Arial"/>
                <w:color w:val="000000"/>
                <w:szCs w:val="18"/>
                <w:lang w:eastAsia="es-CO"/>
              </w:rPr>
              <w:t>97.46 %</w:t>
            </w:r>
          </w:p>
        </w:tc>
      </w:tr>
      <w:tr w:rsidR="00BF3B4F" w14:paraId="10D71C6C" w14:textId="77777777" w:rsidTr="00BF3B4F">
        <w:tc>
          <w:tcPr>
            <w:tcW w:w="2994" w:type="dxa"/>
            <w:tcBorders>
              <w:top w:val="nil"/>
              <w:bottom w:val="single" w:sz="4" w:space="0" w:color="9BBB59" w:themeColor="accent3"/>
            </w:tcBorders>
            <w:shd w:val="clear" w:color="auto" w:fill="FFFFFF"/>
          </w:tcPr>
          <w:p w14:paraId="68838D13" w14:textId="1D4919D2" w:rsidR="00BF3B4F" w:rsidRPr="004456BB" w:rsidRDefault="00BF3B4F" w:rsidP="00BF3B4F">
            <w:pPr>
              <w:pStyle w:val="CETBodytext"/>
              <w:rPr>
                <w:rFonts w:eastAsia="Calibri" w:cs="Arial"/>
                <w:color w:val="000000"/>
                <w:szCs w:val="18"/>
                <w:lang w:eastAsia="es-CO"/>
              </w:rPr>
            </w:pPr>
            <w:r w:rsidRPr="004456BB">
              <w:rPr>
                <w:rFonts w:eastAsia="Calibri" w:cs="Arial"/>
                <w:color w:val="000000"/>
                <w:szCs w:val="18"/>
                <w:lang w:eastAsia="es-CO"/>
              </w:rPr>
              <w:t>Oleic (C18:1</w:t>
            </w:r>
            <w:r w:rsidR="002E2CF9">
              <w:rPr>
                <w:rFonts w:eastAsia="Calibri" w:cs="Arial"/>
                <w:color w:val="000000"/>
                <w:szCs w:val="18"/>
                <w:lang w:eastAsia="es-CO"/>
              </w:rPr>
              <w:t xml:space="preserve"> n9</w:t>
            </w:r>
            <w:r w:rsidRPr="004456BB">
              <w:rPr>
                <w:rFonts w:eastAsia="Calibri" w:cs="Arial"/>
                <w:color w:val="000000"/>
                <w:szCs w:val="18"/>
                <w:lang w:eastAsia="es-CO"/>
              </w:rPr>
              <w:t>)</w:t>
            </w:r>
          </w:p>
        </w:tc>
        <w:tc>
          <w:tcPr>
            <w:tcW w:w="2022" w:type="dxa"/>
            <w:tcBorders>
              <w:top w:val="nil"/>
              <w:bottom w:val="single" w:sz="4" w:space="0" w:color="9BBB59" w:themeColor="accent3"/>
            </w:tcBorders>
            <w:shd w:val="clear" w:color="auto" w:fill="FFFFFF"/>
          </w:tcPr>
          <w:p w14:paraId="19C81059" w14:textId="04F7D81E" w:rsidR="00BF3B4F" w:rsidRPr="004456BB" w:rsidRDefault="002E2CF9" w:rsidP="00BF3B4F">
            <w:pPr>
              <w:pStyle w:val="CETBodytext"/>
              <w:rPr>
                <w:rFonts w:eastAsia="Calibri" w:cs="Arial"/>
                <w:color w:val="000000"/>
                <w:szCs w:val="18"/>
                <w:lang w:eastAsia="es-CO"/>
              </w:rPr>
            </w:pPr>
            <w:r>
              <w:rPr>
                <w:rFonts w:eastAsia="Calibri" w:cs="Arial"/>
                <w:color w:val="000000"/>
                <w:szCs w:val="18"/>
                <w:lang w:eastAsia="es-CO"/>
              </w:rPr>
              <w:t>0.0</w:t>
            </w:r>
            <w:r w:rsidR="00BF3B4F">
              <w:rPr>
                <w:rFonts w:eastAsia="Calibri" w:cs="Arial"/>
                <w:color w:val="000000"/>
                <w:szCs w:val="18"/>
                <w:lang w:eastAsia="es-CO"/>
              </w:rPr>
              <w:t>2964</w:t>
            </w:r>
          </w:p>
        </w:tc>
        <w:tc>
          <w:tcPr>
            <w:tcW w:w="1992" w:type="dxa"/>
            <w:tcBorders>
              <w:top w:val="nil"/>
              <w:bottom w:val="single" w:sz="4" w:space="0" w:color="9BBB59" w:themeColor="accent3"/>
            </w:tcBorders>
            <w:shd w:val="clear" w:color="auto" w:fill="FFFFFF"/>
          </w:tcPr>
          <w:p w14:paraId="2B27DA7C" w14:textId="3BD53EAC" w:rsidR="00BF3B4F" w:rsidRPr="004456BB" w:rsidRDefault="002E2CF9" w:rsidP="00BF3B4F">
            <w:pPr>
              <w:pStyle w:val="CETBodytext"/>
              <w:rPr>
                <w:rFonts w:eastAsia="Calibri" w:cs="Arial"/>
                <w:color w:val="000000"/>
                <w:szCs w:val="18"/>
                <w:lang w:eastAsia="es-CO"/>
              </w:rPr>
            </w:pPr>
            <w:r>
              <w:rPr>
                <w:rFonts w:eastAsia="Calibri" w:cs="Arial"/>
                <w:color w:val="000000"/>
                <w:szCs w:val="18"/>
                <w:lang w:eastAsia="es-CO"/>
              </w:rPr>
              <w:t>0.0</w:t>
            </w:r>
            <w:r w:rsidR="00BF3B4F">
              <w:rPr>
                <w:rFonts w:eastAsia="Calibri" w:cs="Arial"/>
                <w:color w:val="000000"/>
                <w:szCs w:val="18"/>
                <w:lang w:eastAsia="es-CO"/>
              </w:rPr>
              <w:t>2931</w:t>
            </w:r>
          </w:p>
        </w:tc>
        <w:tc>
          <w:tcPr>
            <w:tcW w:w="1779" w:type="dxa"/>
            <w:tcBorders>
              <w:top w:val="nil"/>
              <w:bottom w:val="single" w:sz="4" w:space="0" w:color="9BBB59" w:themeColor="accent3"/>
            </w:tcBorders>
            <w:shd w:val="clear" w:color="auto" w:fill="FFFFFF"/>
          </w:tcPr>
          <w:p w14:paraId="32F58AB5" w14:textId="01DA7B22" w:rsidR="00BF3B4F" w:rsidRDefault="00BF3B4F" w:rsidP="00BF3B4F">
            <w:pPr>
              <w:pStyle w:val="CETBodytext"/>
              <w:rPr>
                <w:rFonts w:eastAsia="Calibri" w:cs="Arial"/>
                <w:color w:val="000000"/>
                <w:szCs w:val="18"/>
                <w:lang w:eastAsia="es-CO"/>
              </w:rPr>
            </w:pPr>
            <w:r>
              <w:rPr>
                <w:rFonts w:eastAsia="Calibri" w:cs="Arial"/>
                <w:color w:val="000000"/>
                <w:szCs w:val="18"/>
                <w:lang w:eastAsia="es-CO"/>
              </w:rPr>
              <w:t>98.87 %</w:t>
            </w:r>
          </w:p>
        </w:tc>
      </w:tr>
    </w:tbl>
    <w:p w14:paraId="52A31D20" w14:textId="37100D96" w:rsidR="00FD6C48" w:rsidRDefault="00FD6C48" w:rsidP="00FD6C48">
      <w:pPr>
        <w:pStyle w:val="CETBodytext"/>
        <w:rPr>
          <w:color w:val="FF0000"/>
          <w:lang w:val="es-CO"/>
        </w:rPr>
      </w:pPr>
    </w:p>
    <w:p w14:paraId="56A13296" w14:textId="1C296110" w:rsidR="0037118E" w:rsidRPr="00F4790A" w:rsidRDefault="00F33906" w:rsidP="00F4790A">
      <w:pPr>
        <w:pStyle w:val="CETBodytext"/>
      </w:pPr>
      <w:r>
        <w:t>T</w:t>
      </w:r>
      <w:r w:rsidR="00AA44E1" w:rsidRPr="009B6E0D">
        <w:t>able 4 compare</w:t>
      </w:r>
      <w:r>
        <w:t>s</w:t>
      </w:r>
      <w:r w:rsidR="00AA44E1" w:rsidRPr="009B6E0D">
        <w:t xml:space="preserve"> the densities of three fatty acids present in avocado oil. The reference values ​​</w:t>
      </w:r>
      <w:r w:rsidR="00AA44E1" w:rsidRPr="00F4790A">
        <w:t xml:space="preserve">were taken from the study carried out by </w:t>
      </w:r>
      <w:r w:rsidR="00AA44E1" w:rsidRPr="00F4790A">
        <w:rPr>
          <w:rFonts w:eastAsia="Calibri"/>
        </w:rPr>
        <w:fldChar w:fldCharType="begin" w:fldLock="1"/>
      </w:r>
      <w:r w:rsidR="00DF3716" w:rsidRPr="00F4790A">
        <w:rPr>
          <w:rFonts w:eastAsia="Calibri"/>
        </w:rPr>
        <w:instrText>ADDIN CSL_CITATION {"citationItems":[{"id":"ITEM-1","itemData":{"author":[{"dropping-particle":"","family":"Cedeño","given":"Fidel","non-dropping-particle":"","parse-names":false,"suffix":""},{"dropping-particle":"","family":"Prieto","given":"Manuela","non-dropping-particle":"","parse-names":false,"suffix":""},{"dropping-particle":"","family":"Bada","given":"Juan","non-dropping-particle":"","parse-names":false,"suffix":""},{"dropping-particle":"","family":"Suárez","given":"Rafael","non-dropping-particle":"","parse-names":false,"suffix":""}],"container-title":"Grasas y aceites","id":"ITEM-1","issued":{"date-parts":[["1999"]]},"page":"359-368","title":"Estudio de la densidad y de la viscosidad de algunos ácidos grasos puros","type":"article-journal","volume":"50"},"uris":["http://www.mendeley.com/documents/?uuid=76bc6af3-18eb-48d0-86ea-7450b2442bbf"]}],"mendeley":{"formattedCitation":"(Cedeño et al., 1999)","manualFormatting":"Cedeño et al. (1999)","plainTextFormattedCitation":"(Cedeño et al., 1999)","previouslyFormattedCitation":"(Cedeño &lt;i&gt;et al.&lt;/i&gt;, 1999)"},"properties":{"noteIndex":0},"schema":"https://github.com/citation-style-language/schema/raw/master/csl-citation.json"}</w:instrText>
      </w:r>
      <w:r w:rsidR="00AA44E1" w:rsidRPr="00F4790A">
        <w:rPr>
          <w:rFonts w:eastAsia="Calibri"/>
        </w:rPr>
        <w:fldChar w:fldCharType="separate"/>
      </w:r>
      <w:r w:rsidR="00AA44E1" w:rsidRPr="00F4790A">
        <w:rPr>
          <w:rFonts w:eastAsia="Calibri"/>
        </w:rPr>
        <w:t>Cedeño et al. (1999)</w:t>
      </w:r>
      <w:r w:rsidR="00AA44E1" w:rsidRPr="00F4790A">
        <w:rPr>
          <w:rFonts w:eastAsia="Calibri"/>
        </w:rPr>
        <w:fldChar w:fldCharType="end"/>
      </w:r>
      <w:r w:rsidR="00AA44E1" w:rsidRPr="00F4790A">
        <w:t>, in which they report the density of different fatty acids when the temperature varies. The comparison of the palmitic acid obtained in the simulation and that reported in the literature was carried out taking into account a temperature of 65 °C, for the stearic acid the density was compared at a temperature of 75 °C, finally, the density of the acid oleic acid was reported and compared at a temperature of 25 °C.</w:t>
      </w:r>
      <w:r w:rsidR="00916783" w:rsidRPr="00F4790A">
        <w:t xml:space="preserve"> </w:t>
      </w:r>
      <w:r w:rsidR="002E2CF9" w:rsidRPr="00F4790A">
        <w:t>In the case of viscosity for palmitic and stearic acids, it was compared at a temperature of 70 °C and 75 °C, respectively, while for oleic acid at a temperature of 25 °C. Viscosities of some of the acids are reported at temperatures greater than 25 °C, because at lower temperatures they have a viscosity of 0. High precision (&gt;97 %) was obtained when comparing the properties of fatty acids as observed in table 4.</w:t>
      </w:r>
    </w:p>
    <w:p w14:paraId="011E75CB" w14:textId="496AA581" w:rsidR="0037118E" w:rsidRPr="00F4790A" w:rsidRDefault="00AA44E1" w:rsidP="00F4790A">
      <w:pPr>
        <w:pStyle w:val="CETBodytext"/>
      </w:pPr>
      <w:r w:rsidRPr="00F4790A">
        <w:t xml:space="preserve">The industrial transformation of avocado generates large amounts of organic waste, mainly composed of seeds and peels with traces of pulp. These wastes are usually composted for use as fertilizer and soil conditioner </w:t>
      </w:r>
      <w:r w:rsidRPr="00F4790A">
        <w:fldChar w:fldCharType="begin" w:fldLock="1"/>
      </w:r>
      <w:r w:rsidR="00DF3716" w:rsidRPr="00F4790A">
        <w:instrText>ADDIN CSL_CITATION {"citationItems":[{"id":"ITEM-1","itemData":{"DOI":"10.1007/s12649-016-9699-6","ISSN":"1877265X","author":[{"dropping-particle":"","family":"Sánchez","given":"F.","non-dropping-particle":"","parse-names":false,"suffix":""},{"dropping-particle":"","family":"Araus","given":"K.","non-dropping-particle":"","parse-names":false,"suffix":""},{"dropping-particle":"","family":"Domínguez","given":"M. P.","non-dropping-particle":"","parse-names":false,"suffix":""},{"dropping-particle":"","family":"Miguel","given":"G. San","non-dropping-particle":"","parse-names":false,"suffix":""}],"container-title":"Waste and Biomass Valorization","id":"ITEM-1","issue":"7","issued":{"date-parts":[["2017"]]},"page":"2495-2510","title":"Thermochemical Transformation of Residual Avocado Seeds: Torrefaction and Carbonization","type":"article-journal","volume":"8"},"uris":["http://www.mendeley.com/documents/?uuid=be1b4011-5a22-4a1b-b80b-4510ca87ce97"]}],"mendeley":{"formattedCitation":"(Sánchez et al., 2017)","manualFormatting":"(Sánchez et al., 2017)","plainTextFormattedCitation":"(Sánchez et al., 2017)","previouslyFormattedCitation":"(Sánchez &lt;i&gt;et al.&lt;/i&gt;, 2017)"},"properties":{"noteIndex":0},"schema":"https://github.com/citation-style-language/schema/raw/master/csl-citation.json"}</w:instrText>
      </w:r>
      <w:r w:rsidRPr="00F4790A">
        <w:fldChar w:fldCharType="separate"/>
      </w:r>
      <w:r w:rsidRPr="00F4790A">
        <w:t>(Sánchez et al., 2017)</w:t>
      </w:r>
      <w:r w:rsidRPr="00F4790A">
        <w:fldChar w:fldCharType="end"/>
      </w:r>
      <w:r w:rsidRPr="00F4790A">
        <w:t>. As the main raw material, the process uses avocado pulp, and to achieve the extraction of the oil present in it, hexane is used.</w:t>
      </w:r>
      <w:r w:rsidR="008D4268" w:rsidRPr="00F4790A">
        <w:t xml:space="preserve"> This process of obtaining avocado oil has been evaluated from the economic point of view, getting a positives investment recovery time, indicating that the assembly of an avocado oil processing plant can be considered economically attractive. In addition to this, other indicators were evaluated to determine the viability of the process.</w:t>
      </w:r>
      <w:r w:rsidRPr="00F4790A">
        <w:t xml:space="preserve"> For future research, the use of residues from the process of obtaining avocado oil, such as seed and peel, is recommended to obtain value-added products under the concept of biorefinery.</w:t>
      </w:r>
      <w:r w:rsidR="008D4268" w:rsidRPr="00F4790A">
        <w:t xml:space="preserve"> </w:t>
      </w:r>
    </w:p>
    <w:p w14:paraId="0899A34C" w14:textId="77777777" w:rsidR="00147575" w:rsidRPr="00AA44E1" w:rsidRDefault="00AA44E1" w:rsidP="00147575">
      <w:pPr>
        <w:pStyle w:val="CETHeading1"/>
        <w:numPr>
          <w:ilvl w:val="0"/>
          <w:numId w:val="0"/>
        </w:numPr>
      </w:pPr>
      <w:r w:rsidRPr="00AA44E1">
        <w:t xml:space="preserve">4. </w:t>
      </w:r>
      <w:r w:rsidRPr="001F34DF">
        <w:t>Conclusions</w:t>
      </w:r>
      <w:r w:rsidRPr="00AA44E1">
        <w:t xml:space="preserve"> </w:t>
      </w:r>
    </w:p>
    <w:p w14:paraId="091A5715" w14:textId="14D5CED4" w:rsidR="00E126BF" w:rsidRPr="009B6E0D" w:rsidRDefault="00AA44E1" w:rsidP="009B6E0D">
      <w:pPr>
        <w:pStyle w:val="CETBodytext"/>
      </w:pPr>
      <w:r w:rsidRPr="009B6E0D">
        <w:t xml:space="preserve">Simulating an industrial production plant allows adjustments to be made that help make the process viable from different points of view since different scenarios and considerations are evaluated from which the one that generates the best economic, environmental and energy results can be chosen. In the present study, an avocado processing plant was simulated to obtain oil, using avocados of the Antillean Creole variety produced in the Montes de María region in northern Colombia. The comparison of properties such as the density </w:t>
      </w:r>
      <w:r w:rsidR="00AE5C91" w:rsidRPr="009B6E0D">
        <w:t xml:space="preserve">and </w:t>
      </w:r>
      <w:r w:rsidR="00AE5C91" w:rsidRPr="009B6E0D">
        <w:lastRenderedPageBreak/>
        <w:t xml:space="preserve">viscosity </w:t>
      </w:r>
      <w:r w:rsidRPr="009B6E0D">
        <w:t>of some of the fatty acids present in avocado oil allows identifying the validity of the design and simulation of the oil extraction process. Likewise, an oil yield percentage of 65.19</w:t>
      </w:r>
      <w:r w:rsidR="001F34DF" w:rsidRPr="009B6E0D">
        <w:t xml:space="preserve"> </w:t>
      </w:r>
      <w:r w:rsidRPr="009B6E0D">
        <w:t>% was obtained, very close to that reported in the literature for a process that uses hexane as solvent. The use of waste streams such as seed and shell is recommended to reduce the accumulation of these wastes in the environment, generating value-added products from these biomasses rich in lignocellulosic material. These are obtained in the peeling and pulping stages of the present process for obtaining avocado oil for cosmetic purposes.</w:t>
      </w:r>
    </w:p>
    <w:p w14:paraId="4A46F92D" w14:textId="77777777" w:rsidR="00147575" w:rsidRPr="009028DB" w:rsidRDefault="00AA44E1" w:rsidP="0055357E">
      <w:pPr>
        <w:pStyle w:val="CETAcknowledgementstitle"/>
        <w:rPr>
          <w:rFonts w:eastAsiaTheme="minorHAnsi"/>
          <w:lang w:val="en-US"/>
        </w:rPr>
      </w:pPr>
      <w:r w:rsidRPr="009028DB">
        <w:rPr>
          <w:rFonts w:eastAsiaTheme="minorHAnsi"/>
          <w:lang w:val="en-US"/>
        </w:rPr>
        <w:t>Acknowledgments</w:t>
      </w:r>
      <w:r w:rsidRPr="009028DB">
        <w:rPr>
          <w:rFonts w:eastAsiaTheme="minorHAnsi"/>
          <w:lang w:val="en-US"/>
        </w:rPr>
        <w:tab/>
      </w:r>
    </w:p>
    <w:p w14:paraId="57A163FF" w14:textId="6C4E2D2C" w:rsidR="00D67FCC" w:rsidRPr="00DC3D75" w:rsidRDefault="00AA44E1" w:rsidP="00DC3D75">
      <w:pPr>
        <w:pStyle w:val="CETBodytext"/>
        <w:rPr>
          <w:rFonts w:eastAsiaTheme="minorHAnsi"/>
        </w:rPr>
      </w:pPr>
      <w:r w:rsidRPr="00F72BE3">
        <w:rPr>
          <w:rFonts w:eastAsiaTheme="minorHAnsi"/>
        </w:rPr>
        <w:t>Authors thank to University of Cartagena</w:t>
      </w:r>
      <w:r w:rsidR="00DC3D75">
        <w:rPr>
          <w:rFonts w:eastAsiaTheme="minorHAnsi"/>
        </w:rPr>
        <w:t>, the Colombian National Planning Department and the Colombian Ministry of Science, Technology and Innovation (MINCIENCIAS)</w:t>
      </w:r>
      <w:r w:rsidRPr="00F72BE3">
        <w:rPr>
          <w:rFonts w:eastAsiaTheme="minorHAnsi"/>
        </w:rPr>
        <w:t xml:space="preserve"> for the supply of equipment and software necessary to conclude</w:t>
      </w:r>
      <w:r w:rsidR="00DC3D75">
        <w:rPr>
          <w:rFonts w:eastAsiaTheme="minorHAnsi"/>
        </w:rPr>
        <w:t xml:space="preserve"> </w:t>
      </w:r>
      <w:r w:rsidRPr="00DC3D75">
        <w:rPr>
          <w:rFonts w:eastAsiaTheme="minorHAnsi"/>
        </w:rPr>
        <w:t>successfully this wo</w:t>
      </w:r>
      <w:r w:rsidR="0055357E" w:rsidRPr="00DC3D75">
        <w:rPr>
          <w:rFonts w:eastAsiaTheme="minorHAnsi"/>
        </w:rPr>
        <w:t>r</w:t>
      </w:r>
      <w:r w:rsidRPr="00DC3D75">
        <w:rPr>
          <w:rFonts w:eastAsiaTheme="minorHAnsi"/>
        </w:rPr>
        <w:t>k</w:t>
      </w:r>
      <w:r w:rsidR="00DC3D75" w:rsidRPr="00DC3D75">
        <w:rPr>
          <w:rFonts w:eastAsiaTheme="minorHAnsi"/>
        </w:rPr>
        <w:t xml:space="preserve"> via P</w:t>
      </w:r>
      <w:r w:rsidR="00DC3D75">
        <w:rPr>
          <w:rFonts w:eastAsiaTheme="minorHAnsi"/>
        </w:rPr>
        <w:t>roject BPIN Code 2020000100325</w:t>
      </w:r>
      <w:r w:rsidRPr="00DC3D75">
        <w:rPr>
          <w:rFonts w:eastAsiaTheme="minorHAnsi"/>
        </w:rPr>
        <w:t>.</w:t>
      </w:r>
      <w:r w:rsidR="00ED4BFE" w:rsidRPr="00DC3D75">
        <w:rPr>
          <w:rFonts w:eastAsiaTheme="minorHAnsi"/>
        </w:rPr>
        <w:tab/>
      </w:r>
    </w:p>
    <w:p w14:paraId="64F5E12B" w14:textId="77777777" w:rsidR="00147575" w:rsidRPr="00956B12" w:rsidRDefault="00AA44E1" w:rsidP="00F4790A">
      <w:pPr>
        <w:pStyle w:val="CETReference"/>
        <w:rPr>
          <w:lang w:val="es-CO"/>
        </w:rPr>
      </w:pPr>
      <w:r w:rsidRPr="00956B12">
        <w:rPr>
          <w:lang w:val="es-CO"/>
        </w:rPr>
        <w:t>References</w:t>
      </w:r>
    </w:p>
    <w:p w14:paraId="0DF3B2CF" w14:textId="30926FDC" w:rsidR="00DF3716" w:rsidRPr="00F4790A" w:rsidRDefault="00AA44E1" w:rsidP="00F4790A">
      <w:pPr>
        <w:pStyle w:val="CETReferencetext"/>
        <w:rPr>
          <w:lang w:val="es-CO"/>
        </w:rPr>
      </w:pPr>
      <w:r w:rsidRPr="00F4790A">
        <w:fldChar w:fldCharType="begin" w:fldLock="1"/>
      </w:r>
      <w:r w:rsidRPr="00F4790A">
        <w:rPr>
          <w:lang w:val="es-CO"/>
        </w:rPr>
        <w:instrText xml:space="preserve">ADDIN Mendeley Bibliography CSL_BIBLIOGRAPHY </w:instrText>
      </w:r>
      <w:r w:rsidRPr="00F4790A">
        <w:fldChar w:fldCharType="separate"/>
      </w:r>
      <w:r w:rsidR="00DF3716" w:rsidRPr="00F4790A">
        <w:rPr>
          <w:lang w:val="es-CO"/>
        </w:rPr>
        <w:t>Acosta M.</w:t>
      </w:r>
      <w:r w:rsidR="001051D4" w:rsidRPr="00F4790A">
        <w:rPr>
          <w:lang w:val="es-CO"/>
        </w:rPr>
        <w:t>,</w:t>
      </w:r>
      <w:r w:rsidR="00DF3716" w:rsidRPr="00F4790A">
        <w:rPr>
          <w:lang w:val="es-CO"/>
        </w:rPr>
        <w:t xml:space="preserve"> 2011</w:t>
      </w:r>
      <w:r w:rsidR="001051D4" w:rsidRPr="00F4790A">
        <w:rPr>
          <w:lang w:val="es-CO"/>
        </w:rPr>
        <w:t>,</w:t>
      </w:r>
      <w:r w:rsidR="00DF3716" w:rsidRPr="00F4790A">
        <w:rPr>
          <w:lang w:val="es-CO"/>
        </w:rPr>
        <w:t xml:space="preserve"> </w:t>
      </w:r>
      <w:r w:rsidR="00F4790A" w:rsidRPr="00F4790A">
        <w:rPr>
          <w:lang w:val="es-CO"/>
        </w:rPr>
        <w:t>Evaluación</w:t>
      </w:r>
      <w:r w:rsidR="00DF3716" w:rsidRPr="00F4790A">
        <w:rPr>
          <w:lang w:val="es-CO"/>
        </w:rPr>
        <w:t xml:space="preserve"> y escalamiento del proceso de </w:t>
      </w:r>
      <w:r w:rsidR="00F4790A" w:rsidRPr="00F4790A">
        <w:rPr>
          <w:lang w:val="es-CO"/>
        </w:rPr>
        <w:t>extracción</w:t>
      </w:r>
      <w:r w:rsidR="00DF3716" w:rsidRPr="00F4790A">
        <w:rPr>
          <w:lang w:val="es-CO"/>
        </w:rPr>
        <w:t xml:space="preserve"> de aceite de aguacate utilizando tratamiento </w:t>
      </w:r>
      <w:r w:rsidR="00F4790A" w:rsidRPr="00F4790A">
        <w:rPr>
          <w:lang w:val="es-CO"/>
        </w:rPr>
        <w:t>enzimático</w:t>
      </w:r>
      <w:r w:rsidR="001051D4" w:rsidRPr="00F4790A">
        <w:rPr>
          <w:lang w:val="es-CO"/>
        </w:rPr>
        <w:t xml:space="preserve">, </w:t>
      </w:r>
      <w:r w:rsidR="00DF3716" w:rsidRPr="00F4790A">
        <w:rPr>
          <w:lang w:val="es-CO"/>
        </w:rPr>
        <w:t>Universidad Nacional de Colombia.</w:t>
      </w:r>
    </w:p>
    <w:p w14:paraId="591F5E1A" w14:textId="17F680E7" w:rsidR="00DF3716" w:rsidRPr="00F4790A" w:rsidRDefault="00DF3716" w:rsidP="00F4790A">
      <w:pPr>
        <w:pStyle w:val="CETReferencetext"/>
        <w:rPr>
          <w:lang w:val="es-CO"/>
        </w:rPr>
      </w:pPr>
      <w:r w:rsidRPr="00F4790A">
        <w:t>Ariza J., López F</w:t>
      </w:r>
      <w:r w:rsidR="001051D4" w:rsidRPr="00F4790A">
        <w:t>.</w:t>
      </w:r>
      <w:r w:rsidRPr="00F4790A">
        <w:t>, Coyotl</w:t>
      </w:r>
      <w:r w:rsidR="001051D4" w:rsidRPr="00F4790A">
        <w:t xml:space="preserve"> </w:t>
      </w:r>
      <w:r w:rsidRPr="00F4790A">
        <w:t>J., Ramos M</w:t>
      </w:r>
      <w:r w:rsidR="001051D4" w:rsidRPr="00F4790A">
        <w:t>.</w:t>
      </w:r>
      <w:r w:rsidRPr="00F4790A">
        <w:t>, Diaz</w:t>
      </w:r>
      <w:r w:rsidR="001051D4" w:rsidRPr="00F4790A">
        <w:t xml:space="preserve"> </w:t>
      </w:r>
      <w:r w:rsidRPr="00F4790A">
        <w:t>J., Martinez A</w:t>
      </w:r>
      <w:r w:rsidR="001051D4" w:rsidRPr="00F4790A">
        <w:t xml:space="preserve">., </w:t>
      </w:r>
      <w:r w:rsidRPr="00F4790A">
        <w:t>2011</w:t>
      </w:r>
      <w:r w:rsidR="001051D4" w:rsidRPr="00F4790A">
        <w:t>,</w:t>
      </w:r>
      <w:r w:rsidRPr="00F4790A">
        <w:t xml:space="preserve"> Effect of different extraction methods on the fatty acid profile in the avocado (Persea americana Mill. var. </w:t>
      </w:r>
      <w:r w:rsidRPr="00F4790A">
        <w:rPr>
          <w:lang w:val="es-CO"/>
        </w:rPr>
        <w:t>Hass) oil</w:t>
      </w:r>
      <w:r w:rsidR="001051D4" w:rsidRPr="00F4790A">
        <w:rPr>
          <w:lang w:val="es-CO"/>
        </w:rPr>
        <w:t>,</w:t>
      </w:r>
      <w:r w:rsidRPr="00F4790A">
        <w:rPr>
          <w:lang w:val="es-CO"/>
        </w:rPr>
        <w:t xml:space="preserve"> Revista Venezolana de Ciencia y Tecnologia de Alimentos, 2(2), 263–276.</w:t>
      </w:r>
    </w:p>
    <w:p w14:paraId="349E8460" w14:textId="44023EFA" w:rsidR="00DF3716" w:rsidRPr="00F4790A" w:rsidRDefault="00DF3716" w:rsidP="00F4790A">
      <w:pPr>
        <w:pStyle w:val="CETReferencetext"/>
      </w:pPr>
      <w:r w:rsidRPr="00F4790A">
        <w:t>Castillo A., Benigno L., Penedo M., Sanchez</w:t>
      </w:r>
      <w:r w:rsidR="001051D4" w:rsidRPr="00F4790A">
        <w:t xml:space="preserve"> </w:t>
      </w:r>
      <w:r w:rsidRPr="00F4790A">
        <w:t>A.</w:t>
      </w:r>
      <w:r w:rsidR="001051D4" w:rsidRPr="00F4790A">
        <w:t xml:space="preserve">, </w:t>
      </w:r>
      <w:r w:rsidRPr="00F4790A">
        <w:t>2013</w:t>
      </w:r>
      <w:r w:rsidR="001051D4" w:rsidRPr="00F4790A">
        <w:t>,</w:t>
      </w:r>
      <w:r w:rsidRPr="00F4790A">
        <w:t xml:space="preserve"> Simulation of the Production Process of Biodiesel From Jatropha Curcas Oil</w:t>
      </w:r>
      <w:r w:rsidR="009C7AEE" w:rsidRPr="00F4790A">
        <w:t>,</w:t>
      </w:r>
      <w:r w:rsidRPr="00F4790A">
        <w:t xml:space="preserve"> Tecnología Química, 33(2), 107–120</w:t>
      </w:r>
      <w:r w:rsidR="009C7AEE" w:rsidRPr="00F4790A">
        <w:t>.</w:t>
      </w:r>
    </w:p>
    <w:p w14:paraId="4049349C" w14:textId="1E15751C" w:rsidR="00DF3716" w:rsidRPr="00F4790A" w:rsidRDefault="00DF3716" w:rsidP="00F4790A">
      <w:pPr>
        <w:pStyle w:val="CETReferencetext"/>
        <w:rPr>
          <w:lang w:val="es-CO"/>
        </w:rPr>
      </w:pPr>
      <w:r w:rsidRPr="00F4790A">
        <w:rPr>
          <w:lang w:val="es-CO"/>
        </w:rPr>
        <w:t>Cedeño F., Prieto M., Bada J., Suárez R.</w:t>
      </w:r>
      <w:r w:rsidR="009C7AEE" w:rsidRPr="00F4790A">
        <w:rPr>
          <w:lang w:val="es-CO"/>
        </w:rPr>
        <w:t xml:space="preserve">, </w:t>
      </w:r>
      <w:r w:rsidRPr="00F4790A">
        <w:rPr>
          <w:lang w:val="es-CO"/>
        </w:rPr>
        <w:t>1999</w:t>
      </w:r>
      <w:r w:rsidR="009C7AEE" w:rsidRPr="00F4790A">
        <w:rPr>
          <w:lang w:val="es-CO"/>
        </w:rPr>
        <w:t>,</w:t>
      </w:r>
      <w:r w:rsidRPr="00F4790A">
        <w:rPr>
          <w:lang w:val="es-CO"/>
        </w:rPr>
        <w:t xml:space="preserve"> Estudio de la densidad y de la viscosidad de algunos ácidos grasos puros</w:t>
      </w:r>
      <w:r w:rsidR="009C7AEE" w:rsidRPr="00F4790A">
        <w:rPr>
          <w:lang w:val="es-CO"/>
        </w:rPr>
        <w:t xml:space="preserve">, </w:t>
      </w:r>
      <w:r w:rsidRPr="00F4790A">
        <w:rPr>
          <w:lang w:val="es-CO"/>
        </w:rPr>
        <w:t>Grasas y Aceites, 50, 359–368.</w:t>
      </w:r>
    </w:p>
    <w:p w14:paraId="5374276D" w14:textId="6DAF857C" w:rsidR="00DF3716" w:rsidRPr="00F4790A" w:rsidRDefault="00DF3716" w:rsidP="00F4790A">
      <w:pPr>
        <w:pStyle w:val="CETReferencetext"/>
      </w:pPr>
      <w:r w:rsidRPr="00F4790A">
        <w:t>Dávila</w:t>
      </w:r>
      <w:r w:rsidR="009C7AEE" w:rsidRPr="00F4790A">
        <w:t xml:space="preserve"> </w:t>
      </w:r>
      <w:r w:rsidRPr="00F4790A">
        <w:t>J., Rosenberg</w:t>
      </w:r>
      <w:r w:rsidR="009C7AEE" w:rsidRPr="00F4790A">
        <w:t xml:space="preserve"> </w:t>
      </w:r>
      <w:r w:rsidRPr="00F4790A">
        <w:t>M., Castro</w:t>
      </w:r>
      <w:r w:rsidR="009C7AEE" w:rsidRPr="00F4790A">
        <w:t xml:space="preserve"> </w:t>
      </w:r>
      <w:r w:rsidRPr="00F4790A">
        <w:t>E., Cardona C.</w:t>
      </w:r>
      <w:r w:rsidR="009C7AEE" w:rsidRPr="00F4790A">
        <w:t xml:space="preserve">, </w:t>
      </w:r>
      <w:r w:rsidRPr="00F4790A">
        <w:t>2017</w:t>
      </w:r>
      <w:r w:rsidR="009C7AEE" w:rsidRPr="00F4790A">
        <w:t xml:space="preserve">, </w:t>
      </w:r>
      <w:r w:rsidRPr="00F4790A">
        <w:t>A model biorefinery for avocado (Persea americana mill.) processing</w:t>
      </w:r>
      <w:r w:rsidR="009C7AEE" w:rsidRPr="00F4790A">
        <w:t>,</w:t>
      </w:r>
      <w:r w:rsidRPr="00F4790A">
        <w:t xml:space="preserve"> Bioresource Technology, 243, 17–29. </w:t>
      </w:r>
    </w:p>
    <w:p w14:paraId="2A1969E0" w14:textId="01A0D000" w:rsidR="00DF3716" w:rsidRPr="00F4790A" w:rsidRDefault="00DF3716" w:rsidP="00F4790A">
      <w:pPr>
        <w:pStyle w:val="CETReferencetext"/>
      </w:pPr>
      <w:r w:rsidRPr="00F4790A">
        <w:t>Dyudnev V., Korotkii V., Novgorodtsev</w:t>
      </w:r>
      <w:r w:rsidR="009C7AEE" w:rsidRPr="00F4790A">
        <w:t xml:space="preserve"> </w:t>
      </w:r>
      <w:r w:rsidRPr="00F4790A">
        <w:t>S., Boldyryev S., Di Pretoro A., Bragina</w:t>
      </w:r>
      <w:r w:rsidR="009C7AEE" w:rsidRPr="00F4790A">
        <w:t xml:space="preserve"> </w:t>
      </w:r>
      <w:r w:rsidRPr="00F4790A">
        <w:t>J., Trusova M., Manenti F</w:t>
      </w:r>
      <w:r w:rsidR="009C7AEE" w:rsidRPr="00F4790A">
        <w:t xml:space="preserve">., </w:t>
      </w:r>
      <w:r w:rsidRPr="00F4790A">
        <w:t>2021</w:t>
      </w:r>
      <w:r w:rsidR="009C7AEE" w:rsidRPr="00F4790A">
        <w:t xml:space="preserve">, </w:t>
      </w:r>
      <w:r w:rsidRPr="00F4790A">
        <w:t>Energy analysis and process simulation for the energy efficiency improvement of existing chemical plants</w:t>
      </w:r>
      <w:r w:rsidR="009C7AEE" w:rsidRPr="00F4790A">
        <w:t>,</w:t>
      </w:r>
      <w:r w:rsidRPr="00F4790A">
        <w:t xml:space="preserve"> Chemical Engineering Transactions, 86(April), 715–720. </w:t>
      </w:r>
    </w:p>
    <w:p w14:paraId="2BFF71B8" w14:textId="2ACB252D" w:rsidR="00DF3716" w:rsidRPr="00F4790A" w:rsidRDefault="00DF3716" w:rsidP="00F4790A">
      <w:pPr>
        <w:pStyle w:val="CETReferencetext"/>
        <w:rPr>
          <w:lang w:val="es-CO"/>
        </w:rPr>
      </w:pPr>
      <w:r w:rsidRPr="00F4790A">
        <w:rPr>
          <w:lang w:val="es-CO"/>
        </w:rPr>
        <w:t>Macías</w:t>
      </w:r>
      <w:r w:rsidR="009C7AEE" w:rsidRPr="00F4790A">
        <w:rPr>
          <w:lang w:val="es-CO"/>
        </w:rPr>
        <w:t xml:space="preserve"> </w:t>
      </w:r>
      <w:r w:rsidRPr="00F4790A">
        <w:rPr>
          <w:lang w:val="es-CO"/>
        </w:rPr>
        <w:t>D., Rodríguez D</w:t>
      </w:r>
      <w:r w:rsidR="009C7AEE" w:rsidRPr="00F4790A">
        <w:rPr>
          <w:lang w:val="es-CO"/>
        </w:rPr>
        <w:t xml:space="preserve">., </w:t>
      </w:r>
      <w:r w:rsidRPr="00F4790A">
        <w:rPr>
          <w:lang w:val="es-CO"/>
        </w:rPr>
        <w:t>2021</w:t>
      </w:r>
      <w:r w:rsidR="009C7AEE" w:rsidRPr="00F4790A">
        <w:rPr>
          <w:lang w:val="es-CO"/>
        </w:rPr>
        <w:t xml:space="preserve">, </w:t>
      </w:r>
      <w:r w:rsidRPr="00F4790A">
        <w:rPr>
          <w:lang w:val="es-CO"/>
        </w:rPr>
        <w:t>Sustitución de grasa por aceite de aguacate en la elaboración de salchicha tipo Frankfur</w:t>
      </w:r>
      <w:r w:rsidR="009C7AEE" w:rsidRPr="00F4790A">
        <w:rPr>
          <w:lang w:val="es-CO"/>
        </w:rPr>
        <w:t>t,</w:t>
      </w:r>
      <w:r w:rsidRPr="00F4790A">
        <w:rPr>
          <w:lang w:val="es-CO"/>
        </w:rPr>
        <w:t xml:space="preserve"> Ingeniería de Alimentos, 104. https://ciencia.lasalle.edu.co/ing_alimentos/725</w:t>
      </w:r>
    </w:p>
    <w:p w14:paraId="01BA744B" w14:textId="445A73A0" w:rsidR="00DF3716" w:rsidRPr="00F4790A" w:rsidRDefault="00DF3716" w:rsidP="00F4790A">
      <w:pPr>
        <w:pStyle w:val="CETReferencetext"/>
        <w:rPr>
          <w:lang w:val="es-CO"/>
        </w:rPr>
      </w:pPr>
      <w:r w:rsidRPr="00F4790A">
        <w:rPr>
          <w:lang w:val="es-CO"/>
        </w:rPr>
        <w:t>Méndez M., Humanez U., Pérez</w:t>
      </w:r>
      <w:r w:rsidR="009C7AEE" w:rsidRPr="00F4790A">
        <w:rPr>
          <w:lang w:val="es-CO"/>
        </w:rPr>
        <w:t xml:space="preserve"> </w:t>
      </w:r>
      <w:r w:rsidRPr="00F4790A">
        <w:rPr>
          <w:lang w:val="es-CO"/>
        </w:rPr>
        <w:t>J., Bertel C.</w:t>
      </w:r>
      <w:r w:rsidR="009C7AEE" w:rsidRPr="00F4790A">
        <w:rPr>
          <w:lang w:val="es-CO"/>
        </w:rPr>
        <w:t xml:space="preserve">, </w:t>
      </w:r>
      <w:r w:rsidRPr="00F4790A">
        <w:rPr>
          <w:lang w:val="es-CO"/>
        </w:rPr>
        <w:t>2015</w:t>
      </w:r>
      <w:r w:rsidR="009C7AEE" w:rsidRPr="00F4790A">
        <w:rPr>
          <w:lang w:val="es-CO"/>
        </w:rPr>
        <w:t>,</w:t>
      </w:r>
      <w:r w:rsidRPr="00F4790A">
        <w:rPr>
          <w:lang w:val="es-CO"/>
        </w:rPr>
        <w:t xml:space="preserve"> Distribution strategies Avocado Production Chain in Los Montes de María</w:t>
      </w:r>
      <w:r w:rsidR="009C7AEE" w:rsidRPr="00F4790A">
        <w:rPr>
          <w:lang w:val="es-CO"/>
        </w:rPr>
        <w:t>,</w:t>
      </w:r>
      <w:r w:rsidRPr="00F4790A">
        <w:rPr>
          <w:lang w:val="es-CO"/>
        </w:rPr>
        <w:t xml:space="preserve"> Perspectiva Socioeconómica, 1(2), 105. </w:t>
      </w:r>
    </w:p>
    <w:p w14:paraId="690C098E" w14:textId="76E8332D" w:rsidR="00DF3716" w:rsidRPr="00F4790A" w:rsidRDefault="00DF3716" w:rsidP="00F4790A">
      <w:pPr>
        <w:pStyle w:val="CETReferencetext"/>
      </w:pPr>
      <w:r w:rsidRPr="00F4790A">
        <w:t>Meramo S., Moreno K., González A.</w:t>
      </w:r>
      <w:r w:rsidR="009C7AEE" w:rsidRPr="00F4790A">
        <w:t xml:space="preserve">, </w:t>
      </w:r>
      <w:r w:rsidRPr="00F4790A">
        <w:t>2019</w:t>
      </w:r>
      <w:r w:rsidR="009C7AEE" w:rsidRPr="00F4790A">
        <w:t>,</w:t>
      </w:r>
      <w:r w:rsidRPr="00F4790A">
        <w:t xml:space="preserve"> Computer-aided simulation and exergy analysis of TiO2 nanoparticles production via green chemistry</w:t>
      </w:r>
      <w:r w:rsidR="009C7AEE" w:rsidRPr="00F4790A">
        <w:t xml:space="preserve">, </w:t>
      </w:r>
      <w:r w:rsidRPr="00F4790A">
        <w:t xml:space="preserve">PeerJ, 2019(11). </w:t>
      </w:r>
    </w:p>
    <w:p w14:paraId="0DD78227" w14:textId="33EEFFB4" w:rsidR="00DF3716" w:rsidRPr="00F4790A" w:rsidRDefault="00DF3716" w:rsidP="00F4790A">
      <w:pPr>
        <w:pStyle w:val="CETReferencetext"/>
      </w:pPr>
      <w:r w:rsidRPr="00F4790A">
        <w:t>Nosrati N., Naidoo M., Harrison</w:t>
      </w:r>
      <w:r w:rsidR="009C7AEE" w:rsidRPr="00F4790A">
        <w:t xml:space="preserve"> </w:t>
      </w:r>
      <w:r w:rsidRPr="00F4790A">
        <w:t>S., Isafiade A.,</w:t>
      </w:r>
      <w:r w:rsidR="009C7AEE" w:rsidRPr="00F4790A">
        <w:t xml:space="preserve"> </w:t>
      </w:r>
      <w:r w:rsidRPr="00F4790A">
        <w:t>Tai, S.</w:t>
      </w:r>
      <w:r w:rsidR="009C7AEE" w:rsidRPr="00F4790A">
        <w:t xml:space="preserve">, </w:t>
      </w:r>
      <w:r w:rsidRPr="00F4790A">
        <w:t>2020</w:t>
      </w:r>
      <w:r w:rsidR="009C7AEE" w:rsidRPr="00F4790A">
        <w:t>,</w:t>
      </w:r>
      <w:r w:rsidRPr="00F4790A">
        <w:t xml:space="preserve"> Embedding aspen custom modeller for bioethanol fermentation into the aspen plus flowsheet simulator</w:t>
      </w:r>
      <w:r w:rsidR="009C7AEE" w:rsidRPr="00F4790A">
        <w:t>,</w:t>
      </w:r>
      <w:r w:rsidRPr="00F4790A">
        <w:t xml:space="preserve"> Chemical Engineering Transactions, 80(January), 289–294. </w:t>
      </w:r>
    </w:p>
    <w:p w14:paraId="1FA8DC6D" w14:textId="553D3B7B" w:rsidR="00DF3716" w:rsidRPr="00F4790A" w:rsidRDefault="00DF3716" w:rsidP="00F4790A">
      <w:pPr>
        <w:pStyle w:val="CETReferencetext"/>
        <w:rPr>
          <w:lang w:val="es-CO"/>
        </w:rPr>
      </w:pPr>
      <w:r w:rsidRPr="00F4790A">
        <w:rPr>
          <w:lang w:val="es-CO"/>
        </w:rPr>
        <w:t>Pol</w:t>
      </w:r>
      <w:r w:rsidR="009C7AEE" w:rsidRPr="00F4790A">
        <w:rPr>
          <w:lang w:val="es-CO"/>
        </w:rPr>
        <w:t>o</w:t>
      </w:r>
      <w:r w:rsidRPr="00F4790A">
        <w:rPr>
          <w:lang w:val="es-CO"/>
        </w:rPr>
        <w:t xml:space="preserve"> L.</w:t>
      </w:r>
      <w:r w:rsidR="009C7AEE" w:rsidRPr="00F4790A">
        <w:rPr>
          <w:lang w:val="es-CO"/>
        </w:rPr>
        <w:t xml:space="preserve">, </w:t>
      </w:r>
      <w:r w:rsidRPr="00F4790A">
        <w:rPr>
          <w:lang w:val="es-CO"/>
        </w:rPr>
        <w:t>2017</w:t>
      </w:r>
      <w:r w:rsidR="009C7AEE" w:rsidRPr="00F4790A">
        <w:rPr>
          <w:lang w:val="es-CO"/>
        </w:rPr>
        <w:t>,</w:t>
      </w:r>
      <w:r w:rsidRPr="00F4790A">
        <w:rPr>
          <w:lang w:val="es-CO"/>
        </w:rPr>
        <w:t xml:space="preserve"> Simulación de una planta de obtención de biodiesel mediante transesterificación catalítica homogénea de trioleína de aceite de palma</w:t>
      </w:r>
      <w:r w:rsidR="009C7AEE" w:rsidRPr="00F4790A">
        <w:rPr>
          <w:lang w:val="es-CO"/>
        </w:rPr>
        <w:t xml:space="preserve">, </w:t>
      </w:r>
      <w:r w:rsidRPr="00F4790A">
        <w:rPr>
          <w:lang w:val="es-CO"/>
        </w:rPr>
        <w:t xml:space="preserve">Instituto </w:t>
      </w:r>
      <w:r w:rsidR="00F4790A" w:rsidRPr="00F4790A">
        <w:rPr>
          <w:lang w:val="es-CO"/>
        </w:rPr>
        <w:t>Politécnico</w:t>
      </w:r>
      <w:r w:rsidRPr="00F4790A">
        <w:rPr>
          <w:lang w:val="es-CO"/>
        </w:rPr>
        <w:t xml:space="preserve"> Nacional Centro Mexicano para la Producción más Limpia. http://tesis.ipn.mx/handle/123456789/28546</w:t>
      </w:r>
    </w:p>
    <w:p w14:paraId="2C1CF54D" w14:textId="2137455F" w:rsidR="00DF3716" w:rsidRPr="00F4790A" w:rsidRDefault="00DF3716" w:rsidP="00F4790A">
      <w:pPr>
        <w:pStyle w:val="CETReferencetext"/>
      </w:pPr>
      <w:r w:rsidRPr="00F4790A">
        <w:t>Poveda J., Piedrahita S., Cardona C.</w:t>
      </w:r>
      <w:r w:rsidR="008B040A" w:rsidRPr="00F4790A">
        <w:t xml:space="preserve">, </w:t>
      </w:r>
      <w:r w:rsidRPr="00F4790A">
        <w:t>202</w:t>
      </w:r>
      <w:r w:rsidR="008B040A" w:rsidRPr="00F4790A">
        <w:t>1,</w:t>
      </w:r>
      <w:r w:rsidRPr="00F4790A">
        <w:t xml:space="preserve"> Life Cycle Analysis of Biotechnological Processes based on the Composition of the Raw Material</w:t>
      </w:r>
      <w:r w:rsidR="008B040A" w:rsidRPr="00F4790A">
        <w:t>,</w:t>
      </w:r>
      <w:r w:rsidRPr="00F4790A">
        <w:t xml:space="preserve"> Eucalyptus, Avocado,</w:t>
      </w:r>
      <w:r w:rsidR="008B040A" w:rsidRPr="00F4790A">
        <w:t xml:space="preserve"> </w:t>
      </w:r>
      <w:r w:rsidRPr="00F4790A">
        <w:t>and Plantain cases in a Biorefinery System</w:t>
      </w:r>
      <w:r w:rsidR="008B040A" w:rsidRPr="00F4790A">
        <w:t xml:space="preserve">, </w:t>
      </w:r>
      <w:r w:rsidRPr="00F4790A">
        <w:t xml:space="preserve">Chemical Engineering Transactions, 83, 397–402. </w:t>
      </w:r>
    </w:p>
    <w:p w14:paraId="6DFB4B2F" w14:textId="17F5D595" w:rsidR="00DF3716" w:rsidRPr="00F4790A" w:rsidRDefault="00DF3716" w:rsidP="00F4790A">
      <w:pPr>
        <w:pStyle w:val="CETReferencetext"/>
      </w:pPr>
      <w:r w:rsidRPr="00F4790A">
        <w:t>Redd</w:t>
      </w:r>
      <w:r w:rsidR="008B040A" w:rsidRPr="00F4790A">
        <w:t>y</w:t>
      </w:r>
      <w:r w:rsidRPr="00F4790A">
        <w:t xml:space="preserve"> M., Moodley</w:t>
      </w:r>
      <w:r w:rsidR="008B040A" w:rsidRPr="00F4790A">
        <w:t xml:space="preserve"> </w:t>
      </w:r>
      <w:r w:rsidRPr="00F4790A">
        <w:t>R., Jonnalagadd</w:t>
      </w:r>
      <w:r w:rsidR="008B040A" w:rsidRPr="00F4790A">
        <w:t>a</w:t>
      </w:r>
      <w:r w:rsidRPr="00F4790A">
        <w:t xml:space="preserve"> S.</w:t>
      </w:r>
      <w:r w:rsidR="008B040A" w:rsidRPr="00F4790A">
        <w:t xml:space="preserve">, </w:t>
      </w:r>
      <w:r w:rsidRPr="00F4790A">
        <w:t>2012</w:t>
      </w:r>
      <w:r w:rsidR="008B040A" w:rsidRPr="00F4790A">
        <w:t>,</w:t>
      </w:r>
      <w:r w:rsidRPr="00F4790A">
        <w:t xml:space="preserve"> Fatty acid profile and elemental content of avocado (Persea americana Mill.) oil -effect of extraction methods. Journal of Environmental Science and Health - Part B Pesticides, Food Contaminants, and Agricultural Wastes, 47(6), 529–537. </w:t>
      </w:r>
    </w:p>
    <w:p w14:paraId="5C803D76" w14:textId="45500A52" w:rsidR="00DF3716" w:rsidRPr="00F4790A" w:rsidRDefault="00DF3716" w:rsidP="00F4790A">
      <w:pPr>
        <w:pStyle w:val="CETReferencetext"/>
      </w:pPr>
      <w:r w:rsidRPr="00F4790A">
        <w:t>Rezakazemi</w:t>
      </w:r>
      <w:r w:rsidR="008B040A" w:rsidRPr="00F4790A">
        <w:t xml:space="preserve"> </w:t>
      </w:r>
      <w:r w:rsidRPr="00F4790A">
        <w:t>M., Rahmanian N., Jamil H., Shirazian S</w:t>
      </w:r>
      <w:r w:rsidR="008B040A" w:rsidRPr="00F4790A">
        <w:t xml:space="preserve">., </w:t>
      </w:r>
      <w:r w:rsidRPr="00F4790A">
        <w:t>2018</w:t>
      </w:r>
      <w:r w:rsidR="008B040A" w:rsidRPr="00F4790A">
        <w:t>,</w:t>
      </w:r>
      <w:r w:rsidRPr="00F4790A">
        <w:t xml:space="preserve"> Process simulation and evaluation of ethane recovery process using aspen-HYSYS</w:t>
      </w:r>
      <w:r w:rsidR="008B040A" w:rsidRPr="00F4790A">
        <w:t xml:space="preserve">, </w:t>
      </w:r>
      <w:r w:rsidRPr="00F4790A">
        <w:t xml:space="preserve">Chemical Engineering Transactions, 70, 961–966. </w:t>
      </w:r>
    </w:p>
    <w:p w14:paraId="3EC2CD94" w14:textId="56675491" w:rsidR="00DF3716" w:rsidRPr="00F4790A" w:rsidRDefault="00DF3716" w:rsidP="00F4790A">
      <w:pPr>
        <w:pStyle w:val="CETReferencetext"/>
      </w:pPr>
      <w:r w:rsidRPr="00F4790A">
        <w:t>Sánchez F., Araus K., Domínguez M., Miguel G.</w:t>
      </w:r>
      <w:r w:rsidR="008B040A" w:rsidRPr="00F4790A">
        <w:t xml:space="preserve">, </w:t>
      </w:r>
      <w:r w:rsidRPr="00F4790A">
        <w:t>2017</w:t>
      </w:r>
      <w:r w:rsidR="008B040A" w:rsidRPr="00F4790A">
        <w:t>,</w:t>
      </w:r>
      <w:r w:rsidRPr="00F4790A">
        <w:t xml:space="preserve"> Thermochemical Transformation of Residual Avocado Seeds: Torrefaction and Carbonization</w:t>
      </w:r>
      <w:r w:rsidR="008B040A" w:rsidRPr="00F4790A">
        <w:t>,</w:t>
      </w:r>
      <w:r w:rsidRPr="00F4790A">
        <w:t xml:space="preserve"> Waste and Biomass Valorization, 8(7), 2495–2510. </w:t>
      </w:r>
    </w:p>
    <w:p w14:paraId="52558E51" w14:textId="7D803D8B" w:rsidR="00DF3716" w:rsidRPr="00F4790A" w:rsidRDefault="00DF3716" w:rsidP="00F4790A">
      <w:pPr>
        <w:pStyle w:val="CETReferencetext"/>
      </w:pPr>
      <w:r w:rsidRPr="00F4790A">
        <w:t>Solarte J., Ortiz M., Restrepo D., Alexander P., Peroza</w:t>
      </w:r>
      <w:r w:rsidR="008B040A" w:rsidRPr="00F4790A">
        <w:t xml:space="preserve"> </w:t>
      </w:r>
      <w:r w:rsidRPr="00F4790A">
        <w:t>P., Ariel</w:t>
      </w:r>
      <w:r w:rsidR="008B040A" w:rsidRPr="00F4790A">
        <w:t xml:space="preserve"> </w:t>
      </w:r>
      <w:r w:rsidRPr="00F4790A">
        <w:t>C., Alzate C.</w:t>
      </w:r>
      <w:r w:rsidR="008B040A" w:rsidRPr="00F4790A">
        <w:t xml:space="preserve">, </w:t>
      </w:r>
      <w:r w:rsidRPr="00F4790A">
        <w:t>2021</w:t>
      </w:r>
      <w:r w:rsidR="008B040A" w:rsidRPr="00F4790A">
        <w:t>,</w:t>
      </w:r>
      <w:r w:rsidRPr="00F4790A">
        <w:t xml:space="preserve"> Bioresource Technology Influence of products portfolio and process contextualization on the economic performance of small- and large-scale avocado biorefineries. Bioresource Technology, 342(July). </w:t>
      </w:r>
    </w:p>
    <w:p w14:paraId="37419451" w14:textId="2B1B64C5" w:rsidR="00DF3716" w:rsidRPr="00F4790A" w:rsidRDefault="00DF3716" w:rsidP="00F4790A">
      <w:pPr>
        <w:pStyle w:val="CETReferencetext"/>
      </w:pPr>
      <w:r w:rsidRPr="00F4790A">
        <w:t>Uchenna</w:t>
      </w:r>
      <w:r w:rsidR="008B040A" w:rsidRPr="00F4790A">
        <w:t xml:space="preserve"> </w:t>
      </w:r>
      <w:r w:rsidRPr="00F4790A">
        <w:t>E., Shori</w:t>
      </w:r>
      <w:r w:rsidR="008B040A" w:rsidRPr="00F4790A">
        <w:t xml:space="preserve"> </w:t>
      </w:r>
      <w:r w:rsidRPr="00F4790A">
        <w:t>A., Baba</w:t>
      </w:r>
      <w:r w:rsidR="008B040A" w:rsidRPr="00F4790A">
        <w:t xml:space="preserve"> </w:t>
      </w:r>
      <w:r w:rsidRPr="00F4790A">
        <w:t>A.</w:t>
      </w:r>
      <w:r w:rsidR="008B040A" w:rsidRPr="00F4790A">
        <w:t xml:space="preserve">, </w:t>
      </w:r>
      <w:r w:rsidRPr="00F4790A">
        <w:t>2017</w:t>
      </w:r>
      <w:r w:rsidR="008B040A" w:rsidRPr="00F4790A">
        <w:t>,</w:t>
      </w:r>
      <w:r w:rsidRPr="00F4790A">
        <w:t xml:space="preserve"> Inclusion of avocado ( Persea americana ) seeds in the diet to improve carbohydrate and lipid metabolism in rats</w:t>
      </w:r>
      <w:r w:rsidR="009B6E0D" w:rsidRPr="00F4790A">
        <w:t>,</w:t>
      </w:r>
      <w:r w:rsidRPr="00F4790A">
        <w:t xml:space="preserve"> Revista Argentina de Endocrinología y Metabolismo, 54(3), 140–148. </w:t>
      </w:r>
    </w:p>
    <w:p w14:paraId="54F5A40C" w14:textId="77777777" w:rsidR="008D4268" w:rsidRPr="00F4790A" w:rsidRDefault="008D4268" w:rsidP="00F4790A">
      <w:pPr>
        <w:pStyle w:val="CETReferencetext"/>
      </w:pPr>
    </w:p>
    <w:p w14:paraId="2D5BCBF2" w14:textId="27464B0E" w:rsidR="0028413F" w:rsidRPr="00F4790A" w:rsidRDefault="00AA44E1" w:rsidP="00F4790A">
      <w:pPr>
        <w:pStyle w:val="CETReferencetext"/>
      </w:pPr>
      <w:r w:rsidRPr="00F4790A">
        <w:fldChar w:fldCharType="end"/>
      </w:r>
      <w:r w:rsidR="001A673F" w:rsidRPr="00F4790A">
        <w:t xml:space="preserve"> </w:t>
      </w:r>
    </w:p>
    <w:p w14:paraId="170F1341" w14:textId="51B4C4F3" w:rsidR="00E03DB4" w:rsidRPr="00AA44E1" w:rsidRDefault="00E03DB4" w:rsidP="00332373">
      <w:pPr>
        <w:pStyle w:val="CETReferencetext"/>
        <w:rPr>
          <w:lang w:val="en-US"/>
        </w:rPr>
      </w:pPr>
    </w:p>
    <w:sectPr w:rsidR="00E03DB4" w:rsidRPr="00AA44E1" w:rsidSect="00EF06D9">
      <w:type w:val="continuous"/>
      <w:pgSz w:w="11906" w:h="16838" w:code="9"/>
      <w:pgMar w:top="1701" w:right="1418" w:bottom="1701" w:left="1701" w:header="1701" w:footer="0" w:gutter="0"/>
      <w:cols w:space="708"/>
      <w:formProt w:val="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charset w:val="00"/>
    <w:family w:val="auto"/>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580B598"/>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2BA6EFDE">
      <w:start w:val="1"/>
      <w:numFmt w:val="bullet"/>
      <w:lvlText w:val=""/>
      <w:lvlJc w:val="left"/>
      <w:pPr>
        <w:ind w:left="720" w:hanging="360"/>
      </w:pPr>
      <w:rPr>
        <w:rFonts w:ascii="Symbol" w:hAnsi="Symbol" w:hint="default"/>
      </w:rPr>
    </w:lvl>
    <w:lvl w:ilvl="1" w:tplc="D4D23E80" w:tentative="1">
      <w:start w:val="1"/>
      <w:numFmt w:val="bullet"/>
      <w:lvlText w:val="o"/>
      <w:lvlJc w:val="left"/>
      <w:pPr>
        <w:ind w:left="1440" w:hanging="360"/>
      </w:pPr>
      <w:rPr>
        <w:rFonts w:ascii="Courier New" w:hAnsi="Courier New" w:cs="Courier New" w:hint="default"/>
      </w:rPr>
    </w:lvl>
    <w:lvl w:ilvl="2" w:tplc="2278CD5C" w:tentative="1">
      <w:start w:val="1"/>
      <w:numFmt w:val="bullet"/>
      <w:lvlText w:val=""/>
      <w:lvlJc w:val="left"/>
      <w:pPr>
        <w:ind w:left="2160" w:hanging="360"/>
      </w:pPr>
      <w:rPr>
        <w:rFonts w:ascii="Wingdings" w:hAnsi="Wingdings" w:hint="default"/>
      </w:rPr>
    </w:lvl>
    <w:lvl w:ilvl="3" w:tplc="F87E7C16" w:tentative="1">
      <w:start w:val="1"/>
      <w:numFmt w:val="bullet"/>
      <w:lvlText w:val=""/>
      <w:lvlJc w:val="left"/>
      <w:pPr>
        <w:ind w:left="2880" w:hanging="360"/>
      </w:pPr>
      <w:rPr>
        <w:rFonts w:ascii="Symbol" w:hAnsi="Symbol" w:hint="default"/>
      </w:rPr>
    </w:lvl>
    <w:lvl w:ilvl="4" w:tplc="D884B79E" w:tentative="1">
      <w:start w:val="1"/>
      <w:numFmt w:val="bullet"/>
      <w:lvlText w:val="o"/>
      <w:lvlJc w:val="left"/>
      <w:pPr>
        <w:ind w:left="3600" w:hanging="360"/>
      </w:pPr>
      <w:rPr>
        <w:rFonts w:ascii="Courier New" w:hAnsi="Courier New" w:cs="Courier New" w:hint="default"/>
      </w:rPr>
    </w:lvl>
    <w:lvl w:ilvl="5" w:tplc="9C6081DE" w:tentative="1">
      <w:start w:val="1"/>
      <w:numFmt w:val="bullet"/>
      <w:lvlText w:val=""/>
      <w:lvlJc w:val="left"/>
      <w:pPr>
        <w:ind w:left="4320" w:hanging="360"/>
      </w:pPr>
      <w:rPr>
        <w:rFonts w:ascii="Wingdings" w:hAnsi="Wingdings" w:hint="default"/>
      </w:rPr>
    </w:lvl>
    <w:lvl w:ilvl="6" w:tplc="C016B3E0" w:tentative="1">
      <w:start w:val="1"/>
      <w:numFmt w:val="bullet"/>
      <w:lvlText w:val=""/>
      <w:lvlJc w:val="left"/>
      <w:pPr>
        <w:ind w:left="5040" w:hanging="360"/>
      </w:pPr>
      <w:rPr>
        <w:rFonts w:ascii="Symbol" w:hAnsi="Symbol" w:hint="default"/>
      </w:rPr>
    </w:lvl>
    <w:lvl w:ilvl="7" w:tplc="259C3840" w:tentative="1">
      <w:start w:val="1"/>
      <w:numFmt w:val="bullet"/>
      <w:lvlText w:val="o"/>
      <w:lvlJc w:val="left"/>
      <w:pPr>
        <w:ind w:left="5760" w:hanging="360"/>
      </w:pPr>
      <w:rPr>
        <w:rFonts w:ascii="Courier New" w:hAnsi="Courier New" w:cs="Courier New" w:hint="default"/>
      </w:rPr>
    </w:lvl>
    <w:lvl w:ilvl="8" w:tplc="71CC3296"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628E3558">
      <w:start w:val="1"/>
      <w:numFmt w:val="bullet"/>
      <w:pStyle w:val="CETnumberingbullets"/>
      <w:lvlText w:val=""/>
      <w:lvlJc w:val="left"/>
      <w:pPr>
        <w:ind w:left="340" w:hanging="227"/>
      </w:pPr>
      <w:rPr>
        <w:rFonts w:ascii="Symbol" w:hAnsi="Symbol" w:hint="default"/>
      </w:rPr>
    </w:lvl>
    <w:lvl w:ilvl="1" w:tplc="D3FE41B0" w:tentative="1">
      <w:start w:val="1"/>
      <w:numFmt w:val="bullet"/>
      <w:lvlText w:val="o"/>
      <w:lvlJc w:val="left"/>
      <w:pPr>
        <w:ind w:left="1440" w:hanging="360"/>
      </w:pPr>
      <w:rPr>
        <w:rFonts w:ascii="Courier New" w:hAnsi="Courier New" w:cs="Courier New" w:hint="default"/>
      </w:rPr>
    </w:lvl>
    <w:lvl w:ilvl="2" w:tplc="6C0C65E2" w:tentative="1">
      <w:start w:val="1"/>
      <w:numFmt w:val="bullet"/>
      <w:lvlText w:val=""/>
      <w:lvlJc w:val="left"/>
      <w:pPr>
        <w:ind w:left="2160" w:hanging="360"/>
      </w:pPr>
      <w:rPr>
        <w:rFonts w:ascii="Wingdings" w:hAnsi="Wingdings" w:hint="default"/>
      </w:rPr>
    </w:lvl>
    <w:lvl w:ilvl="3" w:tplc="2FB22CFE" w:tentative="1">
      <w:start w:val="1"/>
      <w:numFmt w:val="bullet"/>
      <w:lvlText w:val=""/>
      <w:lvlJc w:val="left"/>
      <w:pPr>
        <w:ind w:left="2880" w:hanging="360"/>
      </w:pPr>
      <w:rPr>
        <w:rFonts w:ascii="Symbol" w:hAnsi="Symbol" w:hint="default"/>
      </w:rPr>
    </w:lvl>
    <w:lvl w:ilvl="4" w:tplc="5B90083C" w:tentative="1">
      <w:start w:val="1"/>
      <w:numFmt w:val="bullet"/>
      <w:lvlText w:val="o"/>
      <w:lvlJc w:val="left"/>
      <w:pPr>
        <w:ind w:left="3600" w:hanging="360"/>
      </w:pPr>
      <w:rPr>
        <w:rFonts w:ascii="Courier New" w:hAnsi="Courier New" w:cs="Courier New" w:hint="default"/>
      </w:rPr>
    </w:lvl>
    <w:lvl w:ilvl="5" w:tplc="51A6C794" w:tentative="1">
      <w:start w:val="1"/>
      <w:numFmt w:val="bullet"/>
      <w:lvlText w:val=""/>
      <w:lvlJc w:val="left"/>
      <w:pPr>
        <w:ind w:left="4320" w:hanging="360"/>
      </w:pPr>
      <w:rPr>
        <w:rFonts w:ascii="Wingdings" w:hAnsi="Wingdings" w:hint="default"/>
      </w:rPr>
    </w:lvl>
    <w:lvl w:ilvl="6" w:tplc="33B2A096" w:tentative="1">
      <w:start w:val="1"/>
      <w:numFmt w:val="bullet"/>
      <w:lvlText w:val=""/>
      <w:lvlJc w:val="left"/>
      <w:pPr>
        <w:ind w:left="5040" w:hanging="360"/>
      </w:pPr>
      <w:rPr>
        <w:rFonts w:ascii="Symbol" w:hAnsi="Symbol" w:hint="default"/>
      </w:rPr>
    </w:lvl>
    <w:lvl w:ilvl="7" w:tplc="310AD024" w:tentative="1">
      <w:start w:val="1"/>
      <w:numFmt w:val="bullet"/>
      <w:lvlText w:val="o"/>
      <w:lvlJc w:val="left"/>
      <w:pPr>
        <w:ind w:left="5760" w:hanging="360"/>
      </w:pPr>
      <w:rPr>
        <w:rFonts w:ascii="Courier New" w:hAnsi="Courier New" w:cs="Courier New" w:hint="default"/>
      </w:rPr>
    </w:lvl>
    <w:lvl w:ilvl="8" w:tplc="9B20C83E"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02E35C8">
      <w:start w:val="1"/>
      <w:numFmt w:val="bullet"/>
      <w:lvlText w:val=""/>
      <w:lvlJc w:val="left"/>
      <w:pPr>
        <w:ind w:left="720" w:hanging="360"/>
      </w:pPr>
      <w:rPr>
        <w:rFonts w:ascii="Symbol" w:hAnsi="Symbol" w:hint="default"/>
      </w:rPr>
    </w:lvl>
    <w:lvl w:ilvl="1" w:tplc="B4D002EE" w:tentative="1">
      <w:start w:val="1"/>
      <w:numFmt w:val="bullet"/>
      <w:lvlText w:val="o"/>
      <w:lvlJc w:val="left"/>
      <w:pPr>
        <w:ind w:left="1440" w:hanging="360"/>
      </w:pPr>
      <w:rPr>
        <w:rFonts w:ascii="Courier New" w:hAnsi="Courier New" w:cs="Courier New" w:hint="default"/>
      </w:rPr>
    </w:lvl>
    <w:lvl w:ilvl="2" w:tplc="AB14966A" w:tentative="1">
      <w:start w:val="1"/>
      <w:numFmt w:val="bullet"/>
      <w:lvlText w:val=""/>
      <w:lvlJc w:val="left"/>
      <w:pPr>
        <w:ind w:left="2160" w:hanging="360"/>
      </w:pPr>
      <w:rPr>
        <w:rFonts w:ascii="Wingdings" w:hAnsi="Wingdings" w:hint="default"/>
      </w:rPr>
    </w:lvl>
    <w:lvl w:ilvl="3" w:tplc="FFEEEB0A" w:tentative="1">
      <w:start w:val="1"/>
      <w:numFmt w:val="bullet"/>
      <w:lvlText w:val=""/>
      <w:lvlJc w:val="left"/>
      <w:pPr>
        <w:ind w:left="2880" w:hanging="360"/>
      </w:pPr>
      <w:rPr>
        <w:rFonts w:ascii="Symbol" w:hAnsi="Symbol" w:hint="default"/>
      </w:rPr>
    </w:lvl>
    <w:lvl w:ilvl="4" w:tplc="9C4CB936" w:tentative="1">
      <w:start w:val="1"/>
      <w:numFmt w:val="bullet"/>
      <w:lvlText w:val="o"/>
      <w:lvlJc w:val="left"/>
      <w:pPr>
        <w:ind w:left="3600" w:hanging="360"/>
      </w:pPr>
      <w:rPr>
        <w:rFonts w:ascii="Courier New" w:hAnsi="Courier New" w:cs="Courier New" w:hint="default"/>
      </w:rPr>
    </w:lvl>
    <w:lvl w:ilvl="5" w:tplc="BFA47000" w:tentative="1">
      <w:start w:val="1"/>
      <w:numFmt w:val="bullet"/>
      <w:lvlText w:val=""/>
      <w:lvlJc w:val="left"/>
      <w:pPr>
        <w:ind w:left="4320" w:hanging="360"/>
      </w:pPr>
      <w:rPr>
        <w:rFonts w:ascii="Wingdings" w:hAnsi="Wingdings" w:hint="default"/>
      </w:rPr>
    </w:lvl>
    <w:lvl w:ilvl="6" w:tplc="3F3C736C" w:tentative="1">
      <w:start w:val="1"/>
      <w:numFmt w:val="bullet"/>
      <w:lvlText w:val=""/>
      <w:lvlJc w:val="left"/>
      <w:pPr>
        <w:ind w:left="5040" w:hanging="360"/>
      </w:pPr>
      <w:rPr>
        <w:rFonts w:ascii="Symbol" w:hAnsi="Symbol" w:hint="default"/>
      </w:rPr>
    </w:lvl>
    <w:lvl w:ilvl="7" w:tplc="67DCC414" w:tentative="1">
      <w:start w:val="1"/>
      <w:numFmt w:val="bullet"/>
      <w:lvlText w:val="o"/>
      <w:lvlJc w:val="left"/>
      <w:pPr>
        <w:ind w:left="5760" w:hanging="360"/>
      </w:pPr>
      <w:rPr>
        <w:rFonts w:ascii="Courier New" w:hAnsi="Courier New" w:cs="Courier New" w:hint="default"/>
      </w:rPr>
    </w:lvl>
    <w:lvl w:ilvl="8" w:tplc="C26C5DDC"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73562D94">
      <w:start w:val="1"/>
      <w:numFmt w:val="decimal"/>
      <w:lvlText w:val="%1)"/>
      <w:lvlJc w:val="left"/>
      <w:pPr>
        <w:ind w:left="720" w:hanging="360"/>
      </w:pPr>
      <w:rPr>
        <w:rFonts w:hint="default"/>
      </w:rPr>
    </w:lvl>
    <w:lvl w:ilvl="1" w:tplc="0E763B3A" w:tentative="1">
      <w:start w:val="1"/>
      <w:numFmt w:val="lowerLetter"/>
      <w:lvlText w:val="%2."/>
      <w:lvlJc w:val="left"/>
      <w:pPr>
        <w:ind w:left="1440" w:hanging="360"/>
      </w:pPr>
    </w:lvl>
    <w:lvl w:ilvl="2" w:tplc="8F7E5880" w:tentative="1">
      <w:start w:val="1"/>
      <w:numFmt w:val="lowerRoman"/>
      <w:lvlText w:val="%3."/>
      <w:lvlJc w:val="right"/>
      <w:pPr>
        <w:ind w:left="2160" w:hanging="180"/>
      </w:pPr>
    </w:lvl>
    <w:lvl w:ilvl="3" w:tplc="9EE09788" w:tentative="1">
      <w:start w:val="1"/>
      <w:numFmt w:val="decimal"/>
      <w:lvlText w:val="%4."/>
      <w:lvlJc w:val="left"/>
      <w:pPr>
        <w:ind w:left="2880" w:hanging="360"/>
      </w:pPr>
    </w:lvl>
    <w:lvl w:ilvl="4" w:tplc="BDFAA4D6" w:tentative="1">
      <w:start w:val="1"/>
      <w:numFmt w:val="lowerLetter"/>
      <w:lvlText w:val="%5."/>
      <w:lvlJc w:val="left"/>
      <w:pPr>
        <w:ind w:left="3600" w:hanging="360"/>
      </w:pPr>
    </w:lvl>
    <w:lvl w:ilvl="5" w:tplc="1CE49634" w:tentative="1">
      <w:start w:val="1"/>
      <w:numFmt w:val="lowerRoman"/>
      <w:lvlText w:val="%6."/>
      <w:lvlJc w:val="right"/>
      <w:pPr>
        <w:ind w:left="4320" w:hanging="180"/>
      </w:pPr>
    </w:lvl>
    <w:lvl w:ilvl="6" w:tplc="B0424378" w:tentative="1">
      <w:start w:val="1"/>
      <w:numFmt w:val="decimal"/>
      <w:lvlText w:val="%7."/>
      <w:lvlJc w:val="left"/>
      <w:pPr>
        <w:ind w:left="5040" w:hanging="360"/>
      </w:pPr>
    </w:lvl>
    <w:lvl w:ilvl="7" w:tplc="C7A0B77E" w:tentative="1">
      <w:start w:val="1"/>
      <w:numFmt w:val="lowerLetter"/>
      <w:lvlText w:val="%8."/>
      <w:lvlJc w:val="left"/>
      <w:pPr>
        <w:ind w:left="5760" w:hanging="360"/>
      </w:pPr>
    </w:lvl>
    <w:lvl w:ilvl="8" w:tplc="CBA062F0"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FD0B704">
      <w:start w:val="1"/>
      <w:numFmt w:val="bullet"/>
      <w:lvlText w:val=""/>
      <w:lvlJc w:val="left"/>
      <w:pPr>
        <w:ind w:left="340" w:hanging="227"/>
      </w:pPr>
      <w:rPr>
        <w:rFonts w:ascii="Symbol" w:hAnsi="Symbol" w:hint="default"/>
      </w:rPr>
    </w:lvl>
    <w:lvl w:ilvl="1" w:tplc="B0C28B18" w:tentative="1">
      <w:start w:val="1"/>
      <w:numFmt w:val="bullet"/>
      <w:lvlText w:val="o"/>
      <w:lvlJc w:val="left"/>
      <w:pPr>
        <w:ind w:left="1440" w:hanging="360"/>
      </w:pPr>
      <w:rPr>
        <w:rFonts w:ascii="Courier New" w:hAnsi="Courier New" w:cs="Courier New" w:hint="default"/>
      </w:rPr>
    </w:lvl>
    <w:lvl w:ilvl="2" w:tplc="C3A4E3CA" w:tentative="1">
      <w:start w:val="1"/>
      <w:numFmt w:val="bullet"/>
      <w:lvlText w:val=""/>
      <w:lvlJc w:val="left"/>
      <w:pPr>
        <w:ind w:left="2160" w:hanging="360"/>
      </w:pPr>
      <w:rPr>
        <w:rFonts w:ascii="Wingdings" w:hAnsi="Wingdings" w:hint="default"/>
      </w:rPr>
    </w:lvl>
    <w:lvl w:ilvl="3" w:tplc="5B6A53EC" w:tentative="1">
      <w:start w:val="1"/>
      <w:numFmt w:val="bullet"/>
      <w:lvlText w:val=""/>
      <w:lvlJc w:val="left"/>
      <w:pPr>
        <w:ind w:left="2880" w:hanging="360"/>
      </w:pPr>
      <w:rPr>
        <w:rFonts w:ascii="Symbol" w:hAnsi="Symbol" w:hint="default"/>
      </w:rPr>
    </w:lvl>
    <w:lvl w:ilvl="4" w:tplc="E2F8CFB2" w:tentative="1">
      <w:start w:val="1"/>
      <w:numFmt w:val="bullet"/>
      <w:lvlText w:val="o"/>
      <w:lvlJc w:val="left"/>
      <w:pPr>
        <w:ind w:left="3600" w:hanging="360"/>
      </w:pPr>
      <w:rPr>
        <w:rFonts w:ascii="Courier New" w:hAnsi="Courier New" w:cs="Courier New" w:hint="default"/>
      </w:rPr>
    </w:lvl>
    <w:lvl w:ilvl="5" w:tplc="6C2EC066" w:tentative="1">
      <w:start w:val="1"/>
      <w:numFmt w:val="bullet"/>
      <w:lvlText w:val=""/>
      <w:lvlJc w:val="left"/>
      <w:pPr>
        <w:ind w:left="4320" w:hanging="360"/>
      </w:pPr>
      <w:rPr>
        <w:rFonts w:ascii="Wingdings" w:hAnsi="Wingdings" w:hint="default"/>
      </w:rPr>
    </w:lvl>
    <w:lvl w:ilvl="6" w:tplc="B27CDA28" w:tentative="1">
      <w:start w:val="1"/>
      <w:numFmt w:val="bullet"/>
      <w:lvlText w:val=""/>
      <w:lvlJc w:val="left"/>
      <w:pPr>
        <w:ind w:left="5040" w:hanging="360"/>
      </w:pPr>
      <w:rPr>
        <w:rFonts w:ascii="Symbol" w:hAnsi="Symbol" w:hint="default"/>
      </w:rPr>
    </w:lvl>
    <w:lvl w:ilvl="7" w:tplc="D5B0717C" w:tentative="1">
      <w:start w:val="1"/>
      <w:numFmt w:val="bullet"/>
      <w:lvlText w:val="o"/>
      <w:lvlJc w:val="left"/>
      <w:pPr>
        <w:ind w:left="5760" w:hanging="360"/>
      </w:pPr>
      <w:rPr>
        <w:rFonts w:ascii="Courier New" w:hAnsi="Courier New" w:cs="Courier New" w:hint="default"/>
      </w:rPr>
    </w:lvl>
    <w:lvl w:ilvl="8" w:tplc="183AAA74"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4422274E">
      <w:start w:val="1"/>
      <w:numFmt w:val="decimal"/>
      <w:lvlText w:val="%1)"/>
      <w:lvlJc w:val="left"/>
      <w:pPr>
        <w:ind w:left="340" w:hanging="227"/>
      </w:pPr>
      <w:rPr>
        <w:rFonts w:hint="default"/>
      </w:rPr>
    </w:lvl>
    <w:lvl w:ilvl="1" w:tplc="3EBE9116" w:tentative="1">
      <w:start w:val="1"/>
      <w:numFmt w:val="bullet"/>
      <w:lvlText w:val="o"/>
      <w:lvlJc w:val="left"/>
      <w:pPr>
        <w:ind w:left="1440" w:hanging="360"/>
      </w:pPr>
      <w:rPr>
        <w:rFonts w:ascii="Courier New" w:hAnsi="Courier New" w:cs="Courier New" w:hint="default"/>
      </w:rPr>
    </w:lvl>
    <w:lvl w:ilvl="2" w:tplc="686C5442" w:tentative="1">
      <w:start w:val="1"/>
      <w:numFmt w:val="bullet"/>
      <w:lvlText w:val=""/>
      <w:lvlJc w:val="left"/>
      <w:pPr>
        <w:ind w:left="2160" w:hanging="360"/>
      </w:pPr>
      <w:rPr>
        <w:rFonts w:ascii="Wingdings" w:hAnsi="Wingdings" w:hint="default"/>
      </w:rPr>
    </w:lvl>
    <w:lvl w:ilvl="3" w:tplc="BB80D380" w:tentative="1">
      <w:start w:val="1"/>
      <w:numFmt w:val="bullet"/>
      <w:lvlText w:val=""/>
      <w:lvlJc w:val="left"/>
      <w:pPr>
        <w:ind w:left="2880" w:hanging="360"/>
      </w:pPr>
      <w:rPr>
        <w:rFonts w:ascii="Symbol" w:hAnsi="Symbol" w:hint="default"/>
      </w:rPr>
    </w:lvl>
    <w:lvl w:ilvl="4" w:tplc="76065FE2" w:tentative="1">
      <w:start w:val="1"/>
      <w:numFmt w:val="bullet"/>
      <w:lvlText w:val="o"/>
      <w:lvlJc w:val="left"/>
      <w:pPr>
        <w:ind w:left="3600" w:hanging="360"/>
      </w:pPr>
      <w:rPr>
        <w:rFonts w:ascii="Courier New" w:hAnsi="Courier New" w:cs="Courier New" w:hint="default"/>
      </w:rPr>
    </w:lvl>
    <w:lvl w:ilvl="5" w:tplc="FC6202E6" w:tentative="1">
      <w:start w:val="1"/>
      <w:numFmt w:val="bullet"/>
      <w:lvlText w:val=""/>
      <w:lvlJc w:val="left"/>
      <w:pPr>
        <w:ind w:left="4320" w:hanging="360"/>
      </w:pPr>
      <w:rPr>
        <w:rFonts w:ascii="Wingdings" w:hAnsi="Wingdings" w:hint="default"/>
      </w:rPr>
    </w:lvl>
    <w:lvl w:ilvl="6" w:tplc="796497E2" w:tentative="1">
      <w:start w:val="1"/>
      <w:numFmt w:val="bullet"/>
      <w:lvlText w:val=""/>
      <w:lvlJc w:val="left"/>
      <w:pPr>
        <w:ind w:left="5040" w:hanging="360"/>
      </w:pPr>
      <w:rPr>
        <w:rFonts w:ascii="Symbol" w:hAnsi="Symbol" w:hint="default"/>
      </w:rPr>
    </w:lvl>
    <w:lvl w:ilvl="7" w:tplc="4194239E" w:tentative="1">
      <w:start w:val="1"/>
      <w:numFmt w:val="bullet"/>
      <w:lvlText w:val="o"/>
      <w:lvlJc w:val="left"/>
      <w:pPr>
        <w:ind w:left="5760" w:hanging="360"/>
      </w:pPr>
      <w:rPr>
        <w:rFonts w:ascii="Courier New" w:hAnsi="Courier New" w:cs="Courier New" w:hint="default"/>
      </w:rPr>
    </w:lvl>
    <w:lvl w:ilvl="8" w:tplc="C59201A6"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E7A079F0">
      <w:start w:val="1"/>
      <w:numFmt w:val="decimal"/>
      <w:pStyle w:val="CETnumbering1"/>
      <w:lvlText w:val="%1."/>
      <w:lvlJc w:val="left"/>
      <w:pPr>
        <w:ind w:left="720" w:hanging="360"/>
      </w:pPr>
    </w:lvl>
    <w:lvl w:ilvl="1" w:tplc="62DC182A" w:tentative="1">
      <w:start w:val="1"/>
      <w:numFmt w:val="lowerLetter"/>
      <w:lvlText w:val="%2."/>
      <w:lvlJc w:val="left"/>
      <w:pPr>
        <w:ind w:left="1440" w:hanging="360"/>
      </w:pPr>
    </w:lvl>
    <w:lvl w:ilvl="2" w:tplc="5C8CF7F6" w:tentative="1">
      <w:start w:val="1"/>
      <w:numFmt w:val="lowerRoman"/>
      <w:lvlText w:val="%3."/>
      <w:lvlJc w:val="right"/>
      <w:pPr>
        <w:ind w:left="2160" w:hanging="180"/>
      </w:pPr>
    </w:lvl>
    <w:lvl w:ilvl="3" w:tplc="3C6207C4" w:tentative="1">
      <w:start w:val="1"/>
      <w:numFmt w:val="decimal"/>
      <w:lvlText w:val="%4."/>
      <w:lvlJc w:val="left"/>
      <w:pPr>
        <w:ind w:left="2880" w:hanging="360"/>
      </w:pPr>
    </w:lvl>
    <w:lvl w:ilvl="4" w:tplc="2BBC3E1A" w:tentative="1">
      <w:start w:val="1"/>
      <w:numFmt w:val="lowerLetter"/>
      <w:lvlText w:val="%5."/>
      <w:lvlJc w:val="left"/>
      <w:pPr>
        <w:ind w:left="3600" w:hanging="360"/>
      </w:pPr>
    </w:lvl>
    <w:lvl w:ilvl="5" w:tplc="DA660590" w:tentative="1">
      <w:start w:val="1"/>
      <w:numFmt w:val="lowerRoman"/>
      <w:lvlText w:val="%6."/>
      <w:lvlJc w:val="right"/>
      <w:pPr>
        <w:ind w:left="4320" w:hanging="180"/>
      </w:pPr>
    </w:lvl>
    <w:lvl w:ilvl="6" w:tplc="E9BED65C" w:tentative="1">
      <w:start w:val="1"/>
      <w:numFmt w:val="decimal"/>
      <w:lvlText w:val="%7."/>
      <w:lvlJc w:val="left"/>
      <w:pPr>
        <w:ind w:left="5040" w:hanging="360"/>
      </w:pPr>
    </w:lvl>
    <w:lvl w:ilvl="7" w:tplc="FF0ACCBE" w:tentative="1">
      <w:start w:val="1"/>
      <w:numFmt w:val="lowerLetter"/>
      <w:lvlText w:val="%8."/>
      <w:lvlJc w:val="left"/>
      <w:pPr>
        <w:ind w:left="5760" w:hanging="360"/>
      </w:pPr>
    </w:lvl>
    <w:lvl w:ilvl="8" w:tplc="1C32F248"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54F82092">
      <w:start w:val="1"/>
      <w:numFmt w:val="bullet"/>
      <w:lvlText w:val=""/>
      <w:lvlJc w:val="left"/>
      <w:pPr>
        <w:ind w:left="720" w:hanging="360"/>
      </w:pPr>
      <w:rPr>
        <w:rFonts w:ascii="Symbol" w:hAnsi="Symbol" w:hint="default"/>
      </w:rPr>
    </w:lvl>
    <w:lvl w:ilvl="1" w:tplc="D368E4D0" w:tentative="1">
      <w:start w:val="1"/>
      <w:numFmt w:val="bullet"/>
      <w:lvlText w:val="o"/>
      <w:lvlJc w:val="left"/>
      <w:pPr>
        <w:ind w:left="1440" w:hanging="360"/>
      </w:pPr>
      <w:rPr>
        <w:rFonts w:ascii="Courier New" w:hAnsi="Courier New" w:cs="Courier New" w:hint="default"/>
      </w:rPr>
    </w:lvl>
    <w:lvl w:ilvl="2" w:tplc="843460E0" w:tentative="1">
      <w:start w:val="1"/>
      <w:numFmt w:val="bullet"/>
      <w:lvlText w:val=""/>
      <w:lvlJc w:val="left"/>
      <w:pPr>
        <w:ind w:left="2160" w:hanging="360"/>
      </w:pPr>
      <w:rPr>
        <w:rFonts w:ascii="Wingdings" w:hAnsi="Wingdings" w:hint="default"/>
      </w:rPr>
    </w:lvl>
    <w:lvl w:ilvl="3" w:tplc="FE280BE6" w:tentative="1">
      <w:start w:val="1"/>
      <w:numFmt w:val="bullet"/>
      <w:lvlText w:val=""/>
      <w:lvlJc w:val="left"/>
      <w:pPr>
        <w:ind w:left="2880" w:hanging="360"/>
      </w:pPr>
      <w:rPr>
        <w:rFonts w:ascii="Symbol" w:hAnsi="Symbol" w:hint="default"/>
      </w:rPr>
    </w:lvl>
    <w:lvl w:ilvl="4" w:tplc="D6FE8AEA" w:tentative="1">
      <w:start w:val="1"/>
      <w:numFmt w:val="bullet"/>
      <w:lvlText w:val="o"/>
      <w:lvlJc w:val="left"/>
      <w:pPr>
        <w:ind w:left="3600" w:hanging="360"/>
      </w:pPr>
      <w:rPr>
        <w:rFonts w:ascii="Courier New" w:hAnsi="Courier New" w:cs="Courier New" w:hint="default"/>
      </w:rPr>
    </w:lvl>
    <w:lvl w:ilvl="5" w:tplc="C2AE3EA2" w:tentative="1">
      <w:start w:val="1"/>
      <w:numFmt w:val="bullet"/>
      <w:lvlText w:val=""/>
      <w:lvlJc w:val="left"/>
      <w:pPr>
        <w:ind w:left="4320" w:hanging="360"/>
      </w:pPr>
      <w:rPr>
        <w:rFonts w:ascii="Wingdings" w:hAnsi="Wingdings" w:hint="default"/>
      </w:rPr>
    </w:lvl>
    <w:lvl w:ilvl="6" w:tplc="408218FE" w:tentative="1">
      <w:start w:val="1"/>
      <w:numFmt w:val="bullet"/>
      <w:lvlText w:val=""/>
      <w:lvlJc w:val="left"/>
      <w:pPr>
        <w:ind w:left="5040" w:hanging="360"/>
      </w:pPr>
      <w:rPr>
        <w:rFonts w:ascii="Symbol" w:hAnsi="Symbol" w:hint="default"/>
      </w:rPr>
    </w:lvl>
    <w:lvl w:ilvl="7" w:tplc="3FD8CEC8" w:tentative="1">
      <w:start w:val="1"/>
      <w:numFmt w:val="bullet"/>
      <w:lvlText w:val="o"/>
      <w:lvlJc w:val="left"/>
      <w:pPr>
        <w:ind w:left="5760" w:hanging="360"/>
      </w:pPr>
      <w:rPr>
        <w:rFonts w:ascii="Courier New" w:hAnsi="Courier New" w:cs="Courier New" w:hint="default"/>
      </w:rPr>
    </w:lvl>
    <w:lvl w:ilvl="8" w:tplc="42EA6B98"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3D02056A">
      <w:start w:val="1"/>
      <w:numFmt w:val="lowerLetter"/>
      <w:pStyle w:val="CETnumberinga"/>
      <w:lvlText w:val="%1."/>
      <w:lvlJc w:val="left"/>
      <w:pPr>
        <w:ind w:left="340" w:hanging="227"/>
      </w:pPr>
      <w:rPr>
        <w:rFonts w:hint="default"/>
      </w:rPr>
    </w:lvl>
    <w:lvl w:ilvl="1" w:tplc="1906527E" w:tentative="1">
      <w:start w:val="1"/>
      <w:numFmt w:val="bullet"/>
      <w:lvlText w:val="o"/>
      <w:lvlJc w:val="left"/>
      <w:pPr>
        <w:ind w:left="1440" w:hanging="360"/>
      </w:pPr>
      <w:rPr>
        <w:rFonts w:ascii="Courier New" w:hAnsi="Courier New" w:cs="Courier New" w:hint="default"/>
      </w:rPr>
    </w:lvl>
    <w:lvl w:ilvl="2" w:tplc="1F4295E6" w:tentative="1">
      <w:start w:val="1"/>
      <w:numFmt w:val="bullet"/>
      <w:lvlText w:val=""/>
      <w:lvlJc w:val="left"/>
      <w:pPr>
        <w:ind w:left="2160" w:hanging="360"/>
      </w:pPr>
      <w:rPr>
        <w:rFonts w:ascii="Wingdings" w:hAnsi="Wingdings" w:hint="default"/>
      </w:rPr>
    </w:lvl>
    <w:lvl w:ilvl="3" w:tplc="2B1AF86E" w:tentative="1">
      <w:start w:val="1"/>
      <w:numFmt w:val="bullet"/>
      <w:lvlText w:val=""/>
      <w:lvlJc w:val="left"/>
      <w:pPr>
        <w:ind w:left="2880" w:hanging="360"/>
      </w:pPr>
      <w:rPr>
        <w:rFonts w:ascii="Symbol" w:hAnsi="Symbol" w:hint="default"/>
      </w:rPr>
    </w:lvl>
    <w:lvl w:ilvl="4" w:tplc="568239B4" w:tentative="1">
      <w:start w:val="1"/>
      <w:numFmt w:val="bullet"/>
      <w:lvlText w:val="o"/>
      <w:lvlJc w:val="left"/>
      <w:pPr>
        <w:ind w:left="3600" w:hanging="360"/>
      </w:pPr>
      <w:rPr>
        <w:rFonts w:ascii="Courier New" w:hAnsi="Courier New" w:cs="Courier New" w:hint="default"/>
      </w:rPr>
    </w:lvl>
    <w:lvl w:ilvl="5" w:tplc="2F145872" w:tentative="1">
      <w:start w:val="1"/>
      <w:numFmt w:val="bullet"/>
      <w:lvlText w:val=""/>
      <w:lvlJc w:val="left"/>
      <w:pPr>
        <w:ind w:left="4320" w:hanging="360"/>
      </w:pPr>
      <w:rPr>
        <w:rFonts w:ascii="Wingdings" w:hAnsi="Wingdings" w:hint="default"/>
      </w:rPr>
    </w:lvl>
    <w:lvl w:ilvl="6" w:tplc="6D9ECE60" w:tentative="1">
      <w:start w:val="1"/>
      <w:numFmt w:val="bullet"/>
      <w:lvlText w:val=""/>
      <w:lvlJc w:val="left"/>
      <w:pPr>
        <w:ind w:left="5040" w:hanging="360"/>
      </w:pPr>
      <w:rPr>
        <w:rFonts w:ascii="Symbol" w:hAnsi="Symbol" w:hint="default"/>
      </w:rPr>
    </w:lvl>
    <w:lvl w:ilvl="7" w:tplc="E298A3C8" w:tentative="1">
      <w:start w:val="1"/>
      <w:numFmt w:val="bullet"/>
      <w:lvlText w:val="o"/>
      <w:lvlJc w:val="left"/>
      <w:pPr>
        <w:ind w:left="5760" w:hanging="360"/>
      </w:pPr>
      <w:rPr>
        <w:rFonts w:ascii="Courier New" w:hAnsi="Courier New" w:cs="Courier New" w:hint="default"/>
      </w:rPr>
    </w:lvl>
    <w:lvl w:ilvl="8" w:tplc="CB46F1D8" w:tentative="1">
      <w:start w:val="1"/>
      <w:numFmt w:val="bullet"/>
      <w:lvlText w:val=""/>
      <w:lvlJc w:val="left"/>
      <w:pPr>
        <w:ind w:left="6480" w:hanging="360"/>
      </w:pPr>
      <w:rPr>
        <w:rFonts w:ascii="Wingdings" w:hAnsi="Wingdings" w:hint="default"/>
      </w:rPr>
    </w:lvl>
  </w:abstractNum>
  <w:abstractNum w:abstractNumId="21" w15:restartNumberingAfterBreak="0">
    <w:nsid w:val="7A7A6E1A"/>
    <w:multiLevelType w:val="hybridMultilevel"/>
    <w:tmpl w:val="77A2E714"/>
    <w:lvl w:ilvl="0" w:tplc="8564DE50">
      <w:start w:val="1"/>
      <w:numFmt w:val="bullet"/>
      <w:lvlText w:val=""/>
      <w:lvlJc w:val="left"/>
      <w:pPr>
        <w:ind w:left="720" w:hanging="360"/>
      </w:pPr>
      <w:rPr>
        <w:rFonts w:ascii="Symbol" w:hAnsi="Symbol" w:cs="Symbol" w:hint="default"/>
      </w:rPr>
    </w:lvl>
    <w:lvl w:ilvl="1" w:tplc="53A8CBA0">
      <w:start w:val="1"/>
      <w:numFmt w:val="bullet"/>
      <w:lvlText w:val="o"/>
      <w:lvlJc w:val="left"/>
      <w:pPr>
        <w:ind w:left="1440" w:hanging="360"/>
      </w:pPr>
      <w:rPr>
        <w:rFonts w:ascii="Courier New" w:hAnsi="Courier New" w:cs="Courier New" w:hint="default"/>
      </w:rPr>
    </w:lvl>
    <w:lvl w:ilvl="2" w:tplc="5970B036" w:tentative="1">
      <w:start w:val="1"/>
      <w:numFmt w:val="bullet"/>
      <w:lvlText w:val=""/>
      <w:lvlJc w:val="left"/>
      <w:pPr>
        <w:ind w:left="2160" w:hanging="360"/>
      </w:pPr>
      <w:rPr>
        <w:rFonts w:ascii="Wingdings" w:hAnsi="Wingdings" w:hint="default"/>
      </w:rPr>
    </w:lvl>
    <w:lvl w:ilvl="3" w:tplc="9DCC0524" w:tentative="1">
      <w:start w:val="1"/>
      <w:numFmt w:val="bullet"/>
      <w:lvlText w:val=""/>
      <w:lvlJc w:val="left"/>
      <w:pPr>
        <w:ind w:left="2880" w:hanging="360"/>
      </w:pPr>
      <w:rPr>
        <w:rFonts w:ascii="Symbol" w:hAnsi="Symbol" w:hint="default"/>
      </w:rPr>
    </w:lvl>
    <w:lvl w:ilvl="4" w:tplc="94C619C6" w:tentative="1">
      <w:start w:val="1"/>
      <w:numFmt w:val="bullet"/>
      <w:lvlText w:val="o"/>
      <w:lvlJc w:val="left"/>
      <w:pPr>
        <w:ind w:left="3600" w:hanging="360"/>
      </w:pPr>
      <w:rPr>
        <w:rFonts w:ascii="Courier New" w:hAnsi="Courier New" w:cs="Courier New" w:hint="default"/>
      </w:rPr>
    </w:lvl>
    <w:lvl w:ilvl="5" w:tplc="3932A9FC" w:tentative="1">
      <w:start w:val="1"/>
      <w:numFmt w:val="bullet"/>
      <w:lvlText w:val=""/>
      <w:lvlJc w:val="left"/>
      <w:pPr>
        <w:ind w:left="4320" w:hanging="360"/>
      </w:pPr>
      <w:rPr>
        <w:rFonts w:ascii="Wingdings" w:hAnsi="Wingdings" w:hint="default"/>
      </w:rPr>
    </w:lvl>
    <w:lvl w:ilvl="6" w:tplc="BAE6B40E" w:tentative="1">
      <w:start w:val="1"/>
      <w:numFmt w:val="bullet"/>
      <w:lvlText w:val=""/>
      <w:lvlJc w:val="left"/>
      <w:pPr>
        <w:ind w:left="5040" w:hanging="360"/>
      </w:pPr>
      <w:rPr>
        <w:rFonts w:ascii="Symbol" w:hAnsi="Symbol" w:hint="default"/>
      </w:rPr>
    </w:lvl>
    <w:lvl w:ilvl="7" w:tplc="34F64172" w:tentative="1">
      <w:start w:val="1"/>
      <w:numFmt w:val="bullet"/>
      <w:lvlText w:val="o"/>
      <w:lvlJc w:val="left"/>
      <w:pPr>
        <w:ind w:left="5760" w:hanging="360"/>
      </w:pPr>
      <w:rPr>
        <w:rFonts w:ascii="Courier New" w:hAnsi="Courier New" w:cs="Courier New" w:hint="default"/>
      </w:rPr>
    </w:lvl>
    <w:lvl w:ilvl="8" w:tplc="0A4ED74C"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108"/>
    <w:rsid w:val="000052FB"/>
    <w:rsid w:val="00007249"/>
    <w:rsid w:val="0001172C"/>
    <w:rsid w:val="000117CB"/>
    <w:rsid w:val="000234A3"/>
    <w:rsid w:val="00024336"/>
    <w:rsid w:val="0003148D"/>
    <w:rsid w:val="00031EEC"/>
    <w:rsid w:val="000370E3"/>
    <w:rsid w:val="00042C34"/>
    <w:rsid w:val="000430EE"/>
    <w:rsid w:val="00051566"/>
    <w:rsid w:val="000613FE"/>
    <w:rsid w:val="00062A9A"/>
    <w:rsid w:val="00065058"/>
    <w:rsid w:val="000671A3"/>
    <w:rsid w:val="00073BBE"/>
    <w:rsid w:val="0007447C"/>
    <w:rsid w:val="00076431"/>
    <w:rsid w:val="00080F9A"/>
    <w:rsid w:val="00086C39"/>
    <w:rsid w:val="00090467"/>
    <w:rsid w:val="00097BA0"/>
    <w:rsid w:val="000A03B2"/>
    <w:rsid w:val="000A74B5"/>
    <w:rsid w:val="000B0399"/>
    <w:rsid w:val="000B6004"/>
    <w:rsid w:val="000D0268"/>
    <w:rsid w:val="000D0C83"/>
    <w:rsid w:val="000D34BE"/>
    <w:rsid w:val="000D56D6"/>
    <w:rsid w:val="000E102F"/>
    <w:rsid w:val="000E36F1"/>
    <w:rsid w:val="000E3A73"/>
    <w:rsid w:val="000E414A"/>
    <w:rsid w:val="000F093C"/>
    <w:rsid w:val="000F163B"/>
    <w:rsid w:val="000F27EE"/>
    <w:rsid w:val="000F787B"/>
    <w:rsid w:val="001051D4"/>
    <w:rsid w:val="0011294B"/>
    <w:rsid w:val="0012091F"/>
    <w:rsid w:val="00126BC2"/>
    <w:rsid w:val="001308B6"/>
    <w:rsid w:val="0013121F"/>
    <w:rsid w:val="00131FE6"/>
    <w:rsid w:val="001320ED"/>
    <w:rsid w:val="0013263F"/>
    <w:rsid w:val="001331DF"/>
    <w:rsid w:val="00134253"/>
    <w:rsid w:val="00134A7C"/>
    <w:rsid w:val="00134DE4"/>
    <w:rsid w:val="0014034D"/>
    <w:rsid w:val="00144D16"/>
    <w:rsid w:val="00146AE6"/>
    <w:rsid w:val="00147575"/>
    <w:rsid w:val="001479D7"/>
    <w:rsid w:val="00150E59"/>
    <w:rsid w:val="00152DE3"/>
    <w:rsid w:val="00164CF9"/>
    <w:rsid w:val="001667A6"/>
    <w:rsid w:val="00174761"/>
    <w:rsid w:val="00180210"/>
    <w:rsid w:val="00184AD6"/>
    <w:rsid w:val="00190865"/>
    <w:rsid w:val="00197AAC"/>
    <w:rsid w:val="001A25E3"/>
    <w:rsid w:val="001A4AF7"/>
    <w:rsid w:val="001A673F"/>
    <w:rsid w:val="001B0349"/>
    <w:rsid w:val="001B1E93"/>
    <w:rsid w:val="001B65C1"/>
    <w:rsid w:val="001C205B"/>
    <w:rsid w:val="001C4BA0"/>
    <w:rsid w:val="001C684B"/>
    <w:rsid w:val="001C7530"/>
    <w:rsid w:val="001D0737"/>
    <w:rsid w:val="001D0CFB"/>
    <w:rsid w:val="001D21AF"/>
    <w:rsid w:val="001D38AE"/>
    <w:rsid w:val="001D53FC"/>
    <w:rsid w:val="001D71CA"/>
    <w:rsid w:val="001D767C"/>
    <w:rsid w:val="001F34DF"/>
    <w:rsid w:val="001F42A5"/>
    <w:rsid w:val="001F7B9D"/>
    <w:rsid w:val="00201C93"/>
    <w:rsid w:val="00205272"/>
    <w:rsid w:val="002112C7"/>
    <w:rsid w:val="00211E92"/>
    <w:rsid w:val="00214F6F"/>
    <w:rsid w:val="002224B4"/>
    <w:rsid w:val="00233024"/>
    <w:rsid w:val="002367B9"/>
    <w:rsid w:val="0023745B"/>
    <w:rsid w:val="002447EF"/>
    <w:rsid w:val="00251550"/>
    <w:rsid w:val="00255FD2"/>
    <w:rsid w:val="002627FE"/>
    <w:rsid w:val="00262853"/>
    <w:rsid w:val="00263B05"/>
    <w:rsid w:val="002670BF"/>
    <w:rsid w:val="0027221A"/>
    <w:rsid w:val="00275B61"/>
    <w:rsid w:val="002803B2"/>
    <w:rsid w:val="00280FAF"/>
    <w:rsid w:val="00282656"/>
    <w:rsid w:val="0028413F"/>
    <w:rsid w:val="00296B83"/>
    <w:rsid w:val="002A1233"/>
    <w:rsid w:val="002A4616"/>
    <w:rsid w:val="002B4015"/>
    <w:rsid w:val="002B4424"/>
    <w:rsid w:val="002B78CE"/>
    <w:rsid w:val="002C2FB6"/>
    <w:rsid w:val="002C6861"/>
    <w:rsid w:val="002D56D2"/>
    <w:rsid w:val="002E2CF9"/>
    <w:rsid w:val="002E5FA7"/>
    <w:rsid w:val="002F218C"/>
    <w:rsid w:val="002F2222"/>
    <w:rsid w:val="002F3309"/>
    <w:rsid w:val="003008CE"/>
    <w:rsid w:val="003009B7"/>
    <w:rsid w:val="00300E56"/>
    <w:rsid w:val="0030469C"/>
    <w:rsid w:val="00305FD7"/>
    <w:rsid w:val="00307B3B"/>
    <w:rsid w:val="003137A6"/>
    <w:rsid w:val="00321CA6"/>
    <w:rsid w:val="00323763"/>
    <w:rsid w:val="00326210"/>
    <w:rsid w:val="00332373"/>
    <w:rsid w:val="00334C09"/>
    <w:rsid w:val="00335DAF"/>
    <w:rsid w:val="00341CBA"/>
    <w:rsid w:val="0034450E"/>
    <w:rsid w:val="00347331"/>
    <w:rsid w:val="003538C9"/>
    <w:rsid w:val="00367973"/>
    <w:rsid w:val="0037118E"/>
    <w:rsid w:val="003723D4"/>
    <w:rsid w:val="003726B4"/>
    <w:rsid w:val="00372FEF"/>
    <w:rsid w:val="003732C2"/>
    <w:rsid w:val="0037692B"/>
    <w:rsid w:val="0038112F"/>
    <w:rsid w:val="00381905"/>
    <w:rsid w:val="0038209B"/>
    <w:rsid w:val="00383701"/>
    <w:rsid w:val="00384A3E"/>
    <w:rsid w:val="00384CC8"/>
    <w:rsid w:val="003871FD"/>
    <w:rsid w:val="0039543E"/>
    <w:rsid w:val="00397438"/>
    <w:rsid w:val="00397FB0"/>
    <w:rsid w:val="003A1E30"/>
    <w:rsid w:val="003A2829"/>
    <w:rsid w:val="003A4F79"/>
    <w:rsid w:val="003A7D1C"/>
    <w:rsid w:val="003B1211"/>
    <w:rsid w:val="003B304B"/>
    <w:rsid w:val="003B3146"/>
    <w:rsid w:val="003F015E"/>
    <w:rsid w:val="003F0A86"/>
    <w:rsid w:val="003F1DC6"/>
    <w:rsid w:val="00400414"/>
    <w:rsid w:val="0040075C"/>
    <w:rsid w:val="0041446B"/>
    <w:rsid w:val="0044071E"/>
    <w:rsid w:val="0044329C"/>
    <w:rsid w:val="004456BB"/>
    <w:rsid w:val="0044751A"/>
    <w:rsid w:val="00453E24"/>
    <w:rsid w:val="004563B7"/>
    <w:rsid w:val="004566D5"/>
    <w:rsid w:val="00457456"/>
    <w:rsid w:val="004577FE"/>
    <w:rsid w:val="00457B9C"/>
    <w:rsid w:val="0046164A"/>
    <w:rsid w:val="004628D2"/>
    <w:rsid w:val="00462DCD"/>
    <w:rsid w:val="004633E6"/>
    <w:rsid w:val="004648AD"/>
    <w:rsid w:val="00464902"/>
    <w:rsid w:val="004703A9"/>
    <w:rsid w:val="004760DE"/>
    <w:rsid w:val="004763D7"/>
    <w:rsid w:val="00482BB4"/>
    <w:rsid w:val="004879A7"/>
    <w:rsid w:val="004A004E"/>
    <w:rsid w:val="004A026F"/>
    <w:rsid w:val="004A24CF"/>
    <w:rsid w:val="004C2936"/>
    <w:rsid w:val="004C3D1D"/>
    <w:rsid w:val="004C7913"/>
    <w:rsid w:val="004D17A1"/>
    <w:rsid w:val="004D229D"/>
    <w:rsid w:val="004D32DD"/>
    <w:rsid w:val="004D5F7B"/>
    <w:rsid w:val="004E24BB"/>
    <w:rsid w:val="004E346F"/>
    <w:rsid w:val="004E4DD6"/>
    <w:rsid w:val="004F1073"/>
    <w:rsid w:val="004F1577"/>
    <w:rsid w:val="004F2647"/>
    <w:rsid w:val="004F5E36"/>
    <w:rsid w:val="00507B47"/>
    <w:rsid w:val="00507BEF"/>
    <w:rsid w:val="00507CC9"/>
    <w:rsid w:val="005109C6"/>
    <w:rsid w:val="005119A5"/>
    <w:rsid w:val="00513735"/>
    <w:rsid w:val="00525308"/>
    <w:rsid w:val="005278B7"/>
    <w:rsid w:val="00532016"/>
    <w:rsid w:val="005346C8"/>
    <w:rsid w:val="00543E7D"/>
    <w:rsid w:val="0054754A"/>
    <w:rsid w:val="00547A68"/>
    <w:rsid w:val="00551CD7"/>
    <w:rsid w:val="005531C9"/>
    <w:rsid w:val="0055357E"/>
    <w:rsid w:val="005643EA"/>
    <w:rsid w:val="00570C43"/>
    <w:rsid w:val="00573A59"/>
    <w:rsid w:val="00573F52"/>
    <w:rsid w:val="005A73BC"/>
    <w:rsid w:val="005B154D"/>
    <w:rsid w:val="005B165B"/>
    <w:rsid w:val="005B2110"/>
    <w:rsid w:val="005B61E6"/>
    <w:rsid w:val="005C05D9"/>
    <w:rsid w:val="005C5D99"/>
    <w:rsid w:val="005C77E1"/>
    <w:rsid w:val="005D668A"/>
    <w:rsid w:val="005D6A2F"/>
    <w:rsid w:val="005E1A82"/>
    <w:rsid w:val="005E794C"/>
    <w:rsid w:val="005E7E8F"/>
    <w:rsid w:val="005F0A28"/>
    <w:rsid w:val="005F0E5E"/>
    <w:rsid w:val="005F61C4"/>
    <w:rsid w:val="00600535"/>
    <w:rsid w:val="00607ED8"/>
    <w:rsid w:val="00610CD6"/>
    <w:rsid w:val="00620DEE"/>
    <w:rsid w:val="00621F92"/>
    <w:rsid w:val="0062280A"/>
    <w:rsid w:val="00625639"/>
    <w:rsid w:val="00631B33"/>
    <w:rsid w:val="0064184D"/>
    <w:rsid w:val="006422CC"/>
    <w:rsid w:val="00650F41"/>
    <w:rsid w:val="00660E3E"/>
    <w:rsid w:val="00662E74"/>
    <w:rsid w:val="00665906"/>
    <w:rsid w:val="00680C23"/>
    <w:rsid w:val="00693211"/>
    <w:rsid w:val="00693766"/>
    <w:rsid w:val="00693B30"/>
    <w:rsid w:val="006A3281"/>
    <w:rsid w:val="006A7317"/>
    <w:rsid w:val="006B044B"/>
    <w:rsid w:val="006B0A7D"/>
    <w:rsid w:val="006B4888"/>
    <w:rsid w:val="006C2E45"/>
    <w:rsid w:val="006C359C"/>
    <w:rsid w:val="006C5579"/>
    <w:rsid w:val="006C604E"/>
    <w:rsid w:val="006D21D9"/>
    <w:rsid w:val="006D6E8B"/>
    <w:rsid w:val="006E737D"/>
    <w:rsid w:val="006F600D"/>
    <w:rsid w:val="00700788"/>
    <w:rsid w:val="007118F7"/>
    <w:rsid w:val="00713973"/>
    <w:rsid w:val="0071680C"/>
    <w:rsid w:val="00717B14"/>
    <w:rsid w:val="00720A24"/>
    <w:rsid w:val="00723848"/>
    <w:rsid w:val="00726BA3"/>
    <w:rsid w:val="0073230E"/>
    <w:rsid w:val="00732386"/>
    <w:rsid w:val="0073514D"/>
    <w:rsid w:val="007447F3"/>
    <w:rsid w:val="0075235D"/>
    <w:rsid w:val="0075499F"/>
    <w:rsid w:val="00762F11"/>
    <w:rsid w:val="00763A91"/>
    <w:rsid w:val="007661C8"/>
    <w:rsid w:val="0077098D"/>
    <w:rsid w:val="007879AB"/>
    <w:rsid w:val="00787BAC"/>
    <w:rsid w:val="007931FA"/>
    <w:rsid w:val="007934AB"/>
    <w:rsid w:val="007977A4"/>
    <w:rsid w:val="007A3050"/>
    <w:rsid w:val="007A4621"/>
    <w:rsid w:val="007A4861"/>
    <w:rsid w:val="007A60AB"/>
    <w:rsid w:val="007A7BBA"/>
    <w:rsid w:val="007B0C50"/>
    <w:rsid w:val="007B1A37"/>
    <w:rsid w:val="007B26E9"/>
    <w:rsid w:val="007B48F9"/>
    <w:rsid w:val="007C0963"/>
    <w:rsid w:val="007C1A43"/>
    <w:rsid w:val="007D195F"/>
    <w:rsid w:val="007F60C5"/>
    <w:rsid w:val="007F6509"/>
    <w:rsid w:val="0080013E"/>
    <w:rsid w:val="00813288"/>
    <w:rsid w:val="008168FC"/>
    <w:rsid w:val="00820F2B"/>
    <w:rsid w:val="00830032"/>
    <w:rsid w:val="00830996"/>
    <w:rsid w:val="00831619"/>
    <w:rsid w:val="008345F1"/>
    <w:rsid w:val="0083680C"/>
    <w:rsid w:val="00844BAE"/>
    <w:rsid w:val="0086167C"/>
    <w:rsid w:val="0086313F"/>
    <w:rsid w:val="00865B07"/>
    <w:rsid w:val="008667EA"/>
    <w:rsid w:val="0087637F"/>
    <w:rsid w:val="0087688B"/>
    <w:rsid w:val="00887682"/>
    <w:rsid w:val="00892AD5"/>
    <w:rsid w:val="008A12AC"/>
    <w:rsid w:val="008A1512"/>
    <w:rsid w:val="008B040A"/>
    <w:rsid w:val="008B3D45"/>
    <w:rsid w:val="008B4121"/>
    <w:rsid w:val="008C4C3D"/>
    <w:rsid w:val="008D1192"/>
    <w:rsid w:val="008D2501"/>
    <w:rsid w:val="008D32B9"/>
    <w:rsid w:val="008D4268"/>
    <w:rsid w:val="008D433B"/>
    <w:rsid w:val="008D557D"/>
    <w:rsid w:val="008E224F"/>
    <w:rsid w:val="008E566E"/>
    <w:rsid w:val="008F6E0F"/>
    <w:rsid w:val="0090161A"/>
    <w:rsid w:val="00901EB6"/>
    <w:rsid w:val="009028DB"/>
    <w:rsid w:val="00904C62"/>
    <w:rsid w:val="009107AD"/>
    <w:rsid w:val="00913FA1"/>
    <w:rsid w:val="00916783"/>
    <w:rsid w:val="00922BA8"/>
    <w:rsid w:val="00924C4E"/>
    <w:rsid w:val="00924DAC"/>
    <w:rsid w:val="00926C0B"/>
    <w:rsid w:val="00927058"/>
    <w:rsid w:val="00935CF1"/>
    <w:rsid w:val="00936F9D"/>
    <w:rsid w:val="0093771B"/>
    <w:rsid w:val="00937F13"/>
    <w:rsid w:val="0094048A"/>
    <w:rsid w:val="00941FCC"/>
    <w:rsid w:val="00942750"/>
    <w:rsid w:val="009450CE"/>
    <w:rsid w:val="009451CD"/>
    <w:rsid w:val="00947179"/>
    <w:rsid w:val="00947344"/>
    <w:rsid w:val="0095164B"/>
    <w:rsid w:val="00954090"/>
    <w:rsid w:val="00956B12"/>
    <w:rsid w:val="009573E7"/>
    <w:rsid w:val="00963E05"/>
    <w:rsid w:val="00964A45"/>
    <w:rsid w:val="00967006"/>
    <w:rsid w:val="00967843"/>
    <w:rsid w:val="00967CD5"/>
    <w:rsid w:val="00967D54"/>
    <w:rsid w:val="00971028"/>
    <w:rsid w:val="009736DC"/>
    <w:rsid w:val="009747CF"/>
    <w:rsid w:val="00990DB7"/>
    <w:rsid w:val="00993B84"/>
    <w:rsid w:val="00996483"/>
    <w:rsid w:val="00996F5A"/>
    <w:rsid w:val="009B041A"/>
    <w:rsid w:val="009B2E0A"/>
    <w:rsid w:val="009B6E0D"/>
    <w:rsid w:val="009B7690"/>
    <w:rsid w:val="009C0230"/>
    <w:rsid w:val="009C1EBE"/>
    <w:rsid w:val="009C37C3"/>
    <w:rsid w:val="009C5EDA"/>
    <w:rsid w:val="009C7AEE"/>
    <w:rsid w:val="009C7C86"/>
    <w:rsid w:val="009D2273"/>
    <w:rsid w:val="009D2928"/>
    <w:rsid w:val="009D2FF7"/>
    <w:rsid w:val="009E7884"/>
    <w:rsid w:val="009E788A"/>
    <w:rsid w:val="009F0E08"/>
    <w:rsid w:val="009F1A63"/>
    <w:rsid w:val="00A04612"/>
    <w:rsid w:val="00A06C6B"/>
    <w:rsid w:val="00A10B93"/>
    <w:rsid w:val="00A13ED9"/>
    <w:rsid w:val="00A1763D"/>
    <w:rsid w:val="00A17CEC"/>
    <w:rsid w:val="00A2029D"/>
    <w:rsid w:val="00A23025"/>
    <w:rsid w:val="00A27EF0"/>
    <w:rsid w:val="00A344C5"/>
    <w:rsid w:val="00A34687"/>
    <w:rsid w:val="00A42361"/>
    <w:rsid w:val="00A4387D"/>
    <w:rsid w:val="00A50B20"/>
    <w:rsid w:val="00A51390"/>
    <w:rsid w:val="00A5637D"/>
    <w:rsid w:val="00A60B25"/>
    <w:rsid w:val="00A60D13"/>
    <w:rsid w:val="00A7065A"/>
    <w:rsid w:val="00A716E5"/>
    <w:rsid w:val="00A72745"/>
    <w:rsid w:val="00A76844"/>
    <w:rsid w:val="00A76EFC"/>
    <w:rsid w:val="00A81A94"/>
    <w:rsid w:val="00A82106"/>
    <w:rsid w:val="00A834FE"/>
    <w:rsid w:val="00A854CD"/>
    <w:rsid w:val="00A91010"/>
    <w:rsid w:val="00A97F29"/>
    <w:rsid w:val="00AA37D9"/>
    <w:rsid w:val="00AA44E1"/>
    <w:rsid w:val="00AA702E"/>
    <w:rsid w:val="00AB0964"/>
    <w:rsid w:val="00AB0EC1"/>
    <w:rsid w:val="00AB2B14"/>
    <w:rsid w:val="00AB5011"/>
    <w:rsid w:val="00AC7368"/>
    <w:rsid w:val="00AD16B9"/>
    <w:rsid w:val="00AD5AC4"/>
    <w:rsid w:val="00AD7687"/>
    <w:rsid w:val="00AE377D"/>
    <w:rsid w:val="00AE5C91"/>
    <w:rsid w:val="00AF0EBA"/>
    <w:rsid w:val="00B02C8A"/>
    <w:rsid w:val="00B12380"/>
    <w:rsid w:val="00B17FBD"/>
    <w:rsid w:val="00B20E77"/>
    <w:rsid w:val="00B22323"/>
    <w:rsid w:val="00B26FEA"/>
    <w:rsid w:val="00B315A6"/>
    <w:rsid w:val="00B31813"/>
    <w:rsid w:val="00B33060"/>
    <w:rsid w:val="00B33365"/>
    <w:rsid w:val="00B45B27"/>
    <w:rsid w:val="00B506BA"/>
    <w:rsid w:val="00B57166"/>
    <w:rsid w:val="00B57B36"/>
    <w:rsid w:val="00B57E6F"/>
    <w:rsid w:val="00B65930"/>
    <w:rsid w:val="00B71CF0"/>
    <w:rsid w:val="00B7348C"/>
    <w:rsid w:val="00B82F96"/>
    <w:rsid w:val="00B832E2"/>
    <w:rsid w:val="00B8686D"/>
    <w:rsid w:val="00B93F69"/>
    <w:rsid w:val="00B974EA"/>
    <w:rsid w:val="00BB0736"/>
    <w:rsid w:val="00BB1DDC"/>
    <w:rsid w:val="00BC30C9"/>
    <w:rsid w:val="00BD077D"/>
    <w:rsid w:val="00BE12A7"/>
    <w:rsid w:val="00BE3845"/>
    <w:rsid w:val="00BE3E58"/>
    <w:rsid w:val="00BF3B4F"/>
    <w:rsid w:val="00C01616"/>
    <w:rsid w:val="00C0162B"/>
    <w:rsid w:val="00C068ED"/>
    <w:rsid w:val="00C128A0"/>
    <w:rsid w:val="00C143C8"/>
    <w:rsid w:val="00C20DE2"/>
    <w:rsid w:val="00C22E0C"/>
    <w:rsid w:val="00C313FD"/>
    <w:rsid w:val="00C345B1"/>
    <w:rsid w:val="00C364C6"/>
    <w:rsid w:val="00C37521"/>
    <w:rsid w:val="00C40142"/>
    <w:rsid w:val="00C40677"/>
    <w:rsid w:val="00C40B45"/>
    <w:rsid w:val="00C41BA2"/>
    <w:rsid w:val="00C52C3C"/>
    <w:rsid w:val="00C56B2A"/>
    <w:rsid w:val="00C57182"/>
    <w:rsid w:val="00C57863"/>
    <w:rsid w:val="00C655FD"/>
    <w:rsid w:val="00C66EEB"/>
    <w:rsid w:val="00C7112B"/>
    <w:rsid w:val="00C75407"/>
    <w:rsid w:val="00C77952"/>
    <w:rsid w:val="00C85862"/>
    <w:rsid w:val="00C870A8"/>
    <w:rsid w:val="00C87B63"/>
    <w:rsid w:val="00C94434"/>
    <w:rsid w:val="00CA0D75"/>
    <w:rsid w:val="00CA1C95"/>
    <w:rsid w:val="00CA4C9B"/>
    <w:rsid w:val="00CA5A9C"/>
    <w:rsid w:val="00CB16D9"/>
    <w:rsid w:val="00CB3F54"/>
    <w:rsid w:val="00CC33B4"/>
    <w:rsid w:val="00CC4C20"/>
    <w:rsid w:val="00CD3517"/>
    <w:rsid w:val="00CD3AAD"/>
    <w:rsid w:val="00CD5AED"/>
    <w:rsid w:val="00CD5FE2"/>
    <w:rsid w:val="00CE7C68"/>
    <w:rsid w:val="00CF1485"/>
    <w:rsid w:val="00CF3097"/>
    <w:rsid w:val="00CF7B9A"/>
    <w:rsid w:val="00D0168E"/>
    <w:rsid w:val="00D02B4C"/>
    <w:rsid w:val="00D040C4"/>
    <w:rsid w:val="00D05F9A"/>
    <w:rsid w:val="00D119F3"/>
    <w:rsid w:val="00D2089C"/>
    <w:rsid w:val="00D338DD"/>
    <w:rsid w:val="00D46B7E"/>
    <w:rsid w:val="00D52073"/>
    <w:rsid w:val="00D57C84"/>
    <w:rsid w:val="00D6057D"/>
    <w:rsid w:val="00D67FCC"/>
    <w:rsid w:val="00D711A7"/>
    <w:rsid w:val="00D71640"/>
    <w:rsid w:val="00D82D74"/>
    <w:rsid w:val="00D836C5"/>
    <w:rsid w:val="00D84576"/>
    <w:rsid w:val="00D849D9"/>
    <w:rsid w:val="00DA1399"/>
    <w:rsid w:val="00DA1EB3"/>
    <w:rsid w:val="00DA24C6"/>
    <w:rsid w:val="00DA4D7B"/>
    <w:rsid w:val="00DB1E53"/>
    <w:rsid w:val="00DB66A6"/>
    <w:rsid w:val="00DC3D75"/>
    <w:rsid w:val="00DD5F02"/>
    <w:rsid w:val="00DE264A"/>
    <w:rsid w:val="00DE2C08"/>
    <w:rsid w:val="00DE5AD7"/>
    <w:rsid w:val="00DE6952"/>
    <w:rsid w:val="00DF3716"/>
    <w:rsid w:val="00DF5072"/>
    <w:rsid w:val="00E00D77"/>
    <w:rsid w:val="00E02D18"/>
    <w:rsid w:val="00E03DB4"/>
    <w:rsid w:val="00E041E7"/>
    <w:rsid w:val="00E126BF"/>
    <w:rsid w:val="00E149F4"/>
    <w:rsid w:val="00E14E6E"/>
    <w:rsid w:val="00E16A41"/>
    <w:rsid w:val="00E23CA1"/>
    <w:rsid w:val="00E304DE"/>
    <w:rsid w:val="00E36C08"/>
    <w:rsid w:val="00E409A8"/>
    <w:rsid w:val="00E50C12"/>
    <w:rsid w:val="00E6473C"/>
    <w:rsid w:val="00E65B91"/>
    <w:rsid w:val="00E7209D"/>
    <w:rsid w:val="00E72EAD"/>
    <w:rsid w:val="00E77223"/>
    <w:rsid w:val="00E83376"/>
    <w:rsid w:val="00E8528B"/>
    <w:rsid w:val="00E85B94"/>
    <w:rsid w:val="00E95F8D"/>
    <w:rsid w:val="00E978D0"/>
    <w:rsid w:val="00EA35F4"/>
    <w:rsid w:val="00EA4613"/>
    <w:rsid w:val="00EA7F91"/>
    <w:rsid w:val="00EB1523"/>
    <w:rsid w:val="00EB28B2"/>
    <w:rsid w:val="00EB6950"/>
    <w:rsid w:val="00EC0E49"/>
    <w:rsid w:val="00EC101F"/>
    <w:rsid w:val="00EC1D9F"/>
    <w:rsid w:val="00EC48D7"/>
    <w:rsid w:val="00ED4BFE"/>
    <w:rsid w:val="00EE0131"/>
    <w:rsid w:val="00EE17B0"/>
    <w:rsid w:val="00EE1C8F"/>
    <w:rsid w:val="00EE5D04"/>
    <w:rsid w:val="00EF06D9"/>
    <w:rsid w:val="00F02DDE"/>
    <w:rsid w:val="00F06C22"/>
    <w:rsid w:val="00F10C59"/>
    <w:rsid w:val="00F2167C"/>
    <w:rsid w:val="00F22920"/>
    <w:rsid w:val="00F22B7F"/>
    <w:rsid w:val="00F30C64"/>
    <w:rsid w:val="00F31068"/>
    <w:rsid w:val="00F32BA2"/>
    <w:rsid w:val="00F32CDB"/>
    <w:rsid w:val="00F33494"/>
    <w:rsid w:val="00F33906"/>
    <w:rsid w:val="00F4790A"/>
    <w:rsid w:val="00F565FE"/>
    <w:rsid w:val="00F570F4"/>
    <w:rsid w:val="00F63A70"/>
    <w:rsid w:val="00F72BE3"/>
    <w:rsid w:val="00F7534E"/>
    <w:rsid w:val="00F92F24"/>
    <w:rsid w:val="00F94F45"/>
    <w:rsid w:val="00F9653A"/>
    <w:rsid w:val="00FA1802"/>
    <w:rsid w:val="00FA21D0"/>
    <w:rsid w:val="00FA32BC"/>
    <w:rsid w:val="00FA3C94"/>
    <w:rsid w:val="00FA5F5F"/>
    <w:rsid w:val="00FA756E"/>
    <w:rsid w:val="00FB730C"/>
    <w:rsid w:val="00FC25C8"/>
    <w:rsid w:val="00FC2695"/>
    <w:rsid w:val="00FC3E03"/>
    <w:rsid w:val="00FC3FC1"/>
    <w:rsid w:val="00FD6C48"/>
    <w:rsid w:val="00FE5B69"/>
    <w:rsid w:val="00FE63E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F5B0B7"/>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uiPriority w:val="99"/>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5643EA"/>
    <w:pPr>
      <w:keepNext/>
      <w:numPr>
        <w:ilvl w:val="2"/>
        <w:numId w:val="1"/>
      </w:numPr>
      <w:suppressAutoHyphens/>
      <w:spacing w:before="120" w:after="120" w:line="240" w:lineRule="auto"/>
    </w:pPr>
    <w:rPr>
      <w:rFonts w:ascii="Arial" w:eastAsia="Times New Roman" w:hAnsi="Arial" w:cs="Times New Roman"/>
      <w:b/>
      <w:color w:val="FF0000"/>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uiPriority w:val="99"/>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5643EA"/>
    <w:rPr>
      <w:rFonts w:ascii="Arial" w:eastAsia="Times New Roman" w:hAnsi="Arial" w:cs="Times New Roman"/>
      <w:b/>
      <w:color w:val="FF0000"/>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color w:val="FF0000"/>
      <w:sz w:val="18"/>
      <w:szCs w:val="20"/>
      <w:lang w:val="en-US"/>
    </w:rPr>
  </w:style>
  <w:style w:type="paragraph" w:styleId="Prrafodelista">
    <w:name w:val="List Paragraph"/>
    <w:basedOn w:val="Normal"/>
    <w:uiPriority w:val="34"/>
    <w:rsid w:val="00280FAF"/>
    <w:pPr>
      <w:ind w:left="720"/>
      <w:contextualSpacing/>
    </w:pPr>
  </w:style>
  <w:style w:type="paragraph" w:customStyle="1" w:styleId="Default">
    <w:name w:val="Default"/>
    <w:rsid w:val="00147575"/>
    <w:pPr>
      <w:autoSpaceDE w:val="0"/>
      <w:autoSpaceDN w:val="0"/>
      <w:adjustRightInd w:val="0"/>
      <w:spacing w:after="0" w:line="240" w:lineRule="auto"/>
    </w:pPr>
    <w:rPr>
      <w:rFonts w:ascii="Times New Roman" w:hAnsi="Times New Roman" w:cs="Times New Roman"/>
      <w:color w:val="000000"/>
      <w:sz w:val="24"/>
      <w:szCs w:val="24"/>
      <w:lang w:val="es-CO"/>
    </w:rPr>
  </w:style>
  <w:style w:type="table" w:styleId="Tabladecuadrcula2">
    <w:name w:val="Grid Table 2"/>
    <w:basedOn w:val="Tablanormal"/>
    <w:uiPriority w:val="47"/>
    <w:rsid w:val="00147575"/>
    <w:pPr>
      <w:spacing w:after="0" w:line="240" w:lineRule="auto"/>
    </w:pPr>
    <w:rPr>
      <w:lang w:val="es-ES_tradn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147575"/>
    <w:rPr>
      <w:color w:val="605E5C"/>
      <w:shd w:val="clear" w:color="auto" w:fill="E1DFDD"/>
    </w:rPr>
  </w:style>
  <w:style w:type="table" w:styleId="Tablanormal3">
    <w:name w:val="Plain Table 3"/>
    <w:basedOn w:val="Tablanormal"/>
    <w:uiPriority w:val="43"/>
    <w:rsid w:val="004A026F"/>
    <w:pPr>
      <w:spacing w:after="0" w:line="240" w:lineRule="auto"/>
    </w:pPr>
    <w:rPr>
      <w:rFonts w:ascii="Times New Roman" w:eastAsia="Times New Roman" w:hAnsi="Times New Roman" w:cs="Times New Roman"/>
      <w:sz w:val="20"/>
      <w:szCs w:val="20"/>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BE12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ef-title">
    <w:name w:val="ref-title"/>
    <w:basedOn w:val="Fuentedeprrafopredeter"/>
    <w:rsid w:val="00F92F24"/>
  </w:style>
  <w:style w:type="character" w:customStyle="1" w:styleId="ref-journal">
    <w:name w:val="ref-journal"/>
    <w:basedOn w:val="Fuentedeprrafopredeter"/>
    <w:rsid w:val="00F92F24"/>
  </w:style>
  <w:style w:type="character" w:customStyle="1" w:styleId="ref-vol">
    <w:name w:val="ref-vol"/>
    <w:basedOn w:val="Fuentedeprrafopredeter"/>
    <w:rsid w:val="00F92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352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6CF70-C9F1-444F-87DC-C667C19B3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19240</TotalTime>
  <Pages>6</Pages>
  <Words>8175</Words>
  <Characters>44967</Characters>
  <Application>Microsoft Office Word</Application>
  <DocSecurity>0</DocSecurity>
  <Lines>374</Lines>
  <Paragraphs>106</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53036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Angel Dario González-Delgado</cp:lastModifiedBy>
  <cp:revision>64</cp:revision>
  <cp:lastPrinted>2022-01-31T05:05:00Z</cp:lastPrinted>
  <dcterms:created xsi:type="dcterms:W3CDTF">2021-09-21T10:42:00Z</dcterms:created>
  <dcterms:modified xsi:type="dcterms:W3CDTF">2022-03-30T14:28:00Z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http://www.zotero.org/styles/apa</vt:lpwstr>
  </property>
  <property fmtid="{D5CDD505-2E9C-101B-9397-08002B2CF9AE}" pid="6" name="Mendeley Recent Style Id 2_1">
    <vt:lpwstr>http://www.zotero.org/styles/american-sociological-association</vt:lpwstr>
  </property>
  <property fmtid="{D5CDD505-2E9C-101B-9397-08002B2CF9AE}" pid="7" name="Mendeley Recent Style Id 3_1">
    <vt:lpwstr>http://www.zotero.org/styles/chicago-author-date</vt:lpwstr>
  </property>
  <property fmtid="{D5CDD505-2E9C-101B-9397-08002B2CF9AE}" pid="8" name="Mendeley Recent Style Id 4_1">
    <vt:lpwstr>http://www.zotero.org/styles/harvard-cite-them-right</vt:lpwstr>
  </property>
  <property fmtid="{D5CDD505-2E9C-101B-9397-08002B2CF9AE}" pid="9" name="Mendeley Recent Style Id 5_1">
    <vt:lpwstr>http://www.zotero.org/styles/ieee</vt:lpwstr>
  </property>
  <property fmtid="{D5CDD505-2E9C-101B-9397-08002B2CF9AE}" pid="10" name="Mendeley Recent Style Id 6_1">
    <vt:lpwstr>http://www.zotero.org/styles/modern-humanities-research-association</vt:lpwstr>
  </property>
  <property fmtid="{D5CDD505-2E9C-101B-9397-08002B2CF9AE}" pid="11" name="Mendeley Recent Style Id 7_1">
    <vt:lpwstr>http://www.zotero.org/styles/modern-language-association</vt:lpwstr>
  </property>
  <property fmtid="{D5CDD505-2E9C-101B-9397-08002B2CF9AE}" pid="12" name="Mendeley Recent Style Id 8_1">
    <vt:lpwstr>http://www.zotero.org/styles/nature</vt:lpwstr>
  </property>
  <property fmtid="{D5CDD505-2E9C-101B-9397-08002B2CF9AE}" pid="13" name="Mendeley Recent Style Id 9_1">
    <vt:lpwstr>http://www.zotero.org/styles/vancouver</vt:lpwstr>
  </property>
  <property fmtid="{D5CDD505-2E9C-101B-9397-08002B2CF9AE}" pid="14" name="Mendeley Recent Style Name 0_1">
    <vt:lpwstr>American Medical Association 11th edition</vt:lpwstr>
  </property>
  <property fmtid="{D5CDD505-2E9C-101B-9397-08002B2CF9AE}" pid="15" name="Mendeley Recent Style Name 1_1">
    <vt:lpwstr>American Psychological Association 7th edition</vt:lpwstr>
  </property>
  <property fmtid="{D5CDD505-2E9C-101B-9397-08002B2CF9AE}" pid="16" name="Mendeley Recent Style Name 2_1">
    <vt:lpwstr>American Sociological Association 6th edition</vt:lpwstr>
  </property>
  <property fmtid="{D5CDD505-2E9C-101B-9397-08002B2CF9AE}" pid="17" name="Mendeley Recent Style Name 3_1">
    <vt:lpwstr>Chicago Manual of Style 17th edition (author-date)</vt:lpwstr>
  </property>
  <property fmtid="{D5CDD505-2E9C-101B-9397-08002B2CF9AE}" pid="18" name="Mendeley Recent Style Name 4_1">
    <vt:lpwstr>Cite Them Right 10th edition - Harvard</vt:lpwstr>
  </property>
  <property fmtid="{D5CDD505-2E9C-101B-9397-08002B2CF9AE}" pid="19" name="Mendeley Recent Style Name 5_1">
    <vt:lpwstr>IEEE</vt:lpwstr>
  </property>
  <property fmtid="{D5CDD505-2E9C-101B-9397-08002B2CF9AE}" pid="20" name="Mendeley Recent Style Name 6_1">
    <vt:lpwstr>Modern Humanities Research Association 3rd edition (note with bibliography)</vt:lpwstr>
  </property>
  <property fmtid="{D5CDD505-2E9C-101B-9397-08002B2CF9AE}" pid="21" name="Mendeley Recent Style Name 7_1">
    <vt:lpwstr>Modern Language Association 8th edition</vt:lpwstr>
  </property>
  <property fmtid="{D5CDD505-2E9C-101B-9397-08002B2CF9AE}" pid="22" name="Mendeley Recent Style Name 8_1">
    <vt:lpwstr>Nature</vt:lpwstr>
  </property>
  <property fmtid="{D5CDD505-2E9C-101B-9397-08002B2CF9AE}" pid="23" name="Mendeley Recent Style Name 9_1">
    <vt:lpwstr>Vancouver</vt:lpwstr>
  </property>
  <property fmtid="{D5CDD505-2E9C-101B-9397-08002B2CF9AE}" pid="24" name="Mendeley Unique User Id_1">
    <vt:lpwstr>7a84b15f-83ac-3ce0-b509-370918df3003</vt:lpwstr>
  </property>
  <property fmtid="{D5CDD505-2E9C-101B-9397-08002B2CF9AE}" pid="25"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26" name="ZOTERO_PREF_2">
    <vt:lpwstr>me="storeReferences" value="true"/&gt;&lt;pref name="automaticJournalAbbreviations" value=""/&gt;&lt;pref name="noteType" value=""/&gt;&lt;/prefs&gt;&lt;/data&gt;</vt:lpwstr>
  </property>
</Properties>
</file>